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6" w:rsidRDefault="006F4B46" w:rsidP="006F4B46">
      <w:pPr>
        <w:autoSpaceDE w:val="0"/>
        <w:autoSpaceDN w:val="0"/>
        <w:adjustRightInd w:val="0"/>
        <w:spacing w:after="0" w:line="240" w:lineRule="auto"/>
        <w:jc w:val="center"/>
        <w:rPr>
          <w:b/>
          <w:sz w:val="27"/>
          <w:szCs w:val="27"/>
          <w:lang w:eastAsia="ru-RU"/>
        </w:rPr>
      </w:pPr>
      <w:bookmarkStart w:id="0" w:name="_GoBack"/>
      <w:bookmarkEnd w:id="0"/>
      <w:proofErr w:type="gramStart"/>
      <w:r w:rsidRPr="00F73FAF">
        <w:rPr>
          <w:b/>
          <w:sz w:val="27"/>
          <w:szCs w:val="27"/>
          <w:lang w:eastAsia="ru-RU"/>
        </w:rPr>
        <w:t>Доклад (типовая форма доклада</w:t>
      </w:r>
      <w:proofErr w:type="gramEnd"/>
    </w:p>
    <w:p w:rsidR="006F4B46" w:rsidRPr="00F73FAF" w:rsidRDefault="006F4B46" w:rsidP="006F4B46">
      <w:pPr>
        <w:autoSpaceDE w:val="0"/>
        <w:autoSpaceDN w:val="0"/>
        <w:adjustRightInd w:val="0"/>
        <w:spacing w:after="0" w:line="240" w:lineRule="auto"/>
        <w:jc w:val="center"/>
        <w:rPr>
          <w:b/>
          <w:sz w:val="27"/>
          <w:szCs w:val="27"/>
          <w:lang w:eastAsia="ru-RU"/>
        </w:rPr>
      </w:pPr>
    </w:p>
    <w:p w:rsidR="006F4B46" w:rsidRPr="00D43EC7" w:rsidRDefault="006F4B46" w:rsidP="006F4B46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u w:val="single"/>
          <w:lang w:eastAsia="ru-RU"/>
        </w:rPr>
      </w:pPr>
      <w:proofErr w:type="spellStart"/>
      <w:r w:rsidRPr="00D43EC7">
        <w:rPr>
          <w:sz w:val="27"/>
          <w:szCs w:val="27"/>
          <w:u w:val="single"/>
          <w:lang w:eastAsia="ru-RU"/>
        </w:rPr>
        <w:t>Полторабатько</w:t>
      </w:r>
      <w:proofErr w:type="spellEnd"/>
      <w:r w:rsidRPr="00D43EC7">
        <w:rPr>
          <w:sz w:val="27"/>
          <w:szCs w:val="27"/>
          <w:u w:val="single"/>
          <w:lang w:eastAsia="ru-RU"/>
        </w:rPr>
        <w:t xml:space="preserve"> Александр Федорович</w:t>
      </w:r>
    </w:p>
    <w:p w:rsidR="006F4B46" w:rsidRDefault="006F4B46" w:rsidP="006F4B4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F73FAF">
        <w:rPr>
          <w:sz w:val="20"/>
          <w:szCs w:val="20"/>
          <w:lang w:eastAsia="ru-RU"/>
        </w:rPr>
        <w:t>Ф.И.О. руководителя муниципального образования области (городского округа, муниципального района, поселения, органа управления сельской территории)</w:t>
      </w:r>
    </w:p>
    <w:p w:rsidR="006F4B46" w:rsidRPr="00F73FAF" w:rsidRDefault="006F4B46" w:rsidP="006F4B4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</w:p>
    <w:p w:rsidR="006F4B46" w:rsidRPr="00D43EC7" w:rsidRDefault="006F4B46" w:rsidP="006F4B46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u w:val="single"/>
          <w:lang w:eastAsia="ru-RU"/>
        </w:rPr>
      </w:pPr>
      <w:r w:rsidRPr="00D43EC7">
        <w:rPr>
          <w:sz w:val="27"/>
          <w:szCs w:val="27"/>
          <w:u w:val="single"/>
          <w:lang w:eastAsia="ru-RU"/>
        </w:rPr>
        <w:t xml:space="preserve">Муниципальный район </w:t>
      </w:r>
      <w:proofErr w:type="spellStart"/>
      <w:r w:rsidRPr="00D43EC7">
        <w:rPr>
          <w:sz w:val="27"/>
          <w:szCs w:val="27"/>
          <w:u w:val="single"/>
          <w:lang w:eastAsia="ru-RU"/>
        </w:rPr>
        <w:t>Красненский</w:t>
      </w:r>
      <w:proofErr w:type="spellEnd"/>
      <w:r w:rsidRPr="00D43EC7">
        <w:rPr>
          <w:sz w:val="27"/>
          <w:szCs w:val="27"/>
          <w:u w:val="single"/>
          <w:lang w:eastAsia="ru-RU"/>
        </w:rPr>
        <w:t xml:space="preserve"> район</w:t>
      </w:r>
    </w:p>
    <w:p w:rsidR="006F4B46" w:rsidRPr="00F73FAF" w:rsidRDefault="0087765B" w:rsidP="006F4B4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</w:t>
      </w:r>
      <w:r w:rsidR="006F4B46" w:rsidRPr="00F73FAF">
        <w:rPr>
          <w:sz w:val="20"/>
          <w:szCs w:val="20"/>
          <w:lang w:eastAsia="ru-RU"/>
        </w:rPr>
        <w:t>Официальное наименование муниципального образования области (городского округа, муниципального района, поселения, органа управления сельской территории)</w:t>
      </w:r>
      <w:proofErr w:type="gramEnd"/>
    </w:p>
    <w:p w:rsidR="006F4B46" w:rsidRPr="00F73FAF" w:rsidRDefault="006F4B46" w:rsidP="006F4B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eastAsia="ru-RU"/>
        </w:rPr>
      </w:pPr>
    </w:p>
    <w:p w:rsidR="006F4B46" w:rsidRPr="00F73FAF" w:rsidRDefault="006F4B46" w:rsidP="006F4B46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lang w:eastAsia="ru-RU"/>
        </w:rPr>
      </w:pPr>
      <w:r w:rsidRPr="00F73FAF">
        <w:rPr>
          <w:sz w:val="27"/>
          <w:szCs w:val="27"/>
          <w:lang w:eastAsia="ru-RU"/>
        </w:rPr>
        <w:t>о достигнутых значениях показателей работы органов местного самоуправления</w:t>
      </w:r>
    </w:p>
    <w:p w:rsidR="006F4B46" w:rsidRDefault="006F4B46" w:rsidP="006F4B46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lang w:eastAsia="ru-RU"/>
        </w:rPr>
      </w:pPr>
    </w:p>
    <w:p w:rsidR="006F4B46" w:rsidRPr="00D43EC7" w:rsidRDefault="006F4B46" w:rsidP="006F4B46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u w:val="single"/>
          <w:lang w:eastAsia="ru-RU"/>
        </w:rPr>
      </w:pPr>
      <w:r w:rsidRPr="00D43EC7">
        <w:rPr>
          <w:sz w:val="27"/>
          <w:szCs w:val="27"/>
          <w:u w:val="single"/>
          <w:lang w:eastAsia="ru-RU"/>
        </w:rPr>
        <w:t xml:space="preserve">Муниципальный район </w:t>
      </w:r>
      <w:proofErr w:type="spellStart"/>
      <w:r w:rsidRPr="00D43EC7">
        <w:rPr>
          <w:sz w:val="27"/>
          <w:szCs w:val="27"/>
          <w:u w:val="single"/>
          <w:lang w:eastAsia="ru-RU"/>
        </w:rPr>
        <w:t>Красненский</w:t>
      </w:r>
      <w:proofErr w:type="spellEnd"/>
      <w:r w:rsidRPr="00D43EC7">
        <w:rPr>
          <w:sz w:val="27"/>
          <w:szCs w:val="27"/>
          <w:u w:val="single"/>
          <w:lang w:eastAsia="ru-RU"/>
        </w:rPr>
        <w:t xml:space="preserve"> район</w:t>
      </w:r>
    </w:p>
    <w:p w:rsidR="006F4B46" w:rsidRPr="00F73FAF" w:rsidRDefault="0087765B" w:rsidP="006F4B4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proofErr w:type="gramStart"/>
      <w:r>
        <w:rPr>
          <w:sz w:val="27"/>
          <w:szCs w:val="27"/>
          <w:lang w:eastAsia="ru-RU"/>
        </w:rPr>
        <w:t>(</w:t>
      </w:r>
      <w:r w:rsidR="006F4B46" w:rsidRPr="00F73FAF">
        <w:rPr>
          <w:sz w:val="20"/>
          <w:szCs w:val="20"/>
          <w:lang w:eastAsia="ru-RU"/>
        </w:rPr>
        <w:t>Официальное наименование муниципального образования области (городского округа, муниципального района, поселения, органа управления сельской территории)</w:t>
      </w:r>
      <w:proofErr w:type="gramEnd"/>
    </w:p>
    <w:p w:rsidR="006F4B46" w:rsidRPr="00F73FAF" w:rsidRDefault="006F4B46" w:rsidP="006F4B46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lang w:eastAsia="ru-RU"/>
        </w:rPr>
      </w:pPr>
      <w:r w:rsidRPr="00F73FAF">
        <w:rPr>
          <w:sz w:val="27"/>
          <w:szCs w:val="27"/>
          <w:lang w:eastAsia="ru-RU"/>
        </w:rPr>
        <w:t xml:space="preserve">по основным социально-экономическим направлениям деятельности </w:t>
      </w:r>
    </w:p>
    <w:p w:rsidR="006F4B46" w:rsidRDefault="00C93DF8" w:rsidP="006F4B46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за 2018</w:t>
      </w:r>
      <w:r w:rsidR="006F4B46" w:rsidRPr="00F73FAF">
        <w:rPr>
          <w:sz w:val="27"/>
          <w:szCs w:val="27"/>
          <w:lang w:eastAsia="ru-RU"/>
        </w:rPr>
        <w:t xml:space="preserve"> год и их планируемых </w:t>
      </w:r>
      <w:proofErr w:type="gramStart"/>
      <w:r w:rsidR="006F4B46" w:rsidRPr="00F73FAF">
        <w:rPr>
          <w:sz w:val="27"/>
          <w:szCs w:val="27"/>
          <w:lang w:eastAsia="ru-RU"/>
        </w:rPr>
        <w:t>значениях</w:t>
      </w:r>
      <w:proofErr w:type="gramEnd"/>
      <w:r w:rsidR="006F4B46" w:rsidRPr="00F73FAF">
        <w:rPr>
          <w:sz w:val="27"/>
          <w:szCs w:val="27"/>
          <w:lang w:eastAsia="ru-RU"/>
        </w:rPr>
        <w:t xml:space="preserve"> на 3-летний период</w:t>
      </w:r>
    </w:p>
    <w:p w:rsidR="006F4B46" w:rsidRPr="00F73FAF" w:rsidRDefault="006F4B46" w:rsidP="006F4B46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lang w:eastAsia="ru-RU"/>
        </w:rPr>
      </w:pPr>
    </w:p>
    <w:p w:rsidR="006F4B46" w:rsidRDefault="006F4B46" w:rsidP="006F4B46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                                                                                              </w:t>
      </w:r>
      <w:r w:rsidRPr="00F73FAF">
        <w:rPr>
          <w:sz w:val="27"/>
          <w:szCs w:val="27"/>
          <w:lang w:eastAsia="ru-RU"/>
        </w:rPr>
        <w:t>Подпись</w:t>
      </w:r>
    </w:p>
    <w:p w:rsidR="006F4B46" w:rsidRDefault="006F4B46" w:rsidP="006F4B4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6F4B46" w:rsidRDefault="006F4B46" w:rsidP="006F4B4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6F4B46" w:rsidRDefault="006F4B46" w:rsidP="006F4B4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6F4B46" w:rsidRDefault="006F4B46" w:rsidP="006F4B4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35A7C" wp14:editId="2DB30769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224406" cy="377820"/>
                <wp:effectExtent l="0" t="0" r="4445" b="3810"/>
                <wp:wrapNone/>
                <wp:docPr id="10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6" cy="37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F4B46" w:rsidRDefault="006F4B46" w:rsidP="006F4B46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${STAMP}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23.95pt;margin-top:.2pt;width:175.15pt;height:29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" stroked="f">
                <v:textbox inset="0,0,0,0">
                  <w:txbxContent>
                    <w:p w:rsidR="006F4B46" w:rsidRDefault="006F4B46" w:rsidP="006F4B46">
                      <w:pPr>
                        <w:pStyle w:val="a5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${STAMP}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B46" w:rsidRDefault="006F4B46" w:rsidP="006F4B4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6F4B46" w:rsidRDefault="006F4B46" w:rsidP="006F4B4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6F4B46" w:rsidRDefault="006F4B46" w:rsidP="006F4B4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6F4B46" w:rsidRDefault="006F4B46" w:rsidP="006F4B4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6F4B46" w:rsidRPr="00F73FAF" w:rsidRDefault="00C93DF8" w:rsidP="006F4B46">
      <w:pPr>
        <w:autoSpaceDE w:val="0"/>
        <w:autoSpaceDN w:val="0"/>
        <w:adjustRightInd w:val="0"/>
        <w:spacing w:after="0" w:line="240" w:lineRule="auto"/>
        <w:jc w:val="righ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Дата </w:t>
      </w:r>
      <w:r w:rsidRPr="00C93DF8">
        <w:rPr>
          <w:sz w:val="27"/>
          <w:szCs w:val="27"/>
          <w:u w:val="single"/>
          <w:lang w:eastAsia="ru-RU"/>
        </w:rPr>
        <w:t>25</w:t>
      </w:r>
      <w:r w:rsidR="006F4B46" w:rsidRPr="00C93DF8">
        <w:rPr>
          <w:sz w:val="27"/>
          <w:szCs w:val="27"/>
          <w:u w:val="single"/>
          <w:lang w:eastAsia="ru-RU"/>
        </w:rPr>
        <w:t xml:space="preserve"> </w:t>
      </w:r>
      <w:r w:rsidRPr="00C93DF8">
        <w:rPr>
          <w:sz w:val="27"/>
          <w:szCs w:val="27"/>
          <w:u w:val="single"/>
          <w:lang w:eastAsia="ru-RU"/>
        </w:rPr>
        <w:t>апреля</w:t>
      </w:r>
      <w:r w:rsidR="006F4B46" w:rsidRPr="00C93DF8">
        <w:rPr>
          <w:sz w:val="27"/>
          <w:szCs w:val="27"/>
          <w:u w:val="single"/>
          <w:lang w:eastAsia="ru-RU"/>
        </w:rPr>
        <w:t xml:space="preserve"> </w:t>
      </w:r>
      <w:r w:rsidRPr="00C93DF8">
        <w:rPr>
          <w:sz w:val="27"/>
          <w:szCs w:val="27"/>
          <w:u w:val="single"/>
          <w:lang w:eastAsia="ru-RU"/>
        </w:rPr>
        <w:t>2019</w:t>
      </w:r>
      <w:r w:rsidR="00A47A94">
        <w:rPr>
          <w:sz w:val="27"/>
          <w:szCs w:val="27"/>
          <w:lang w:eastAsia="ru-RU"/>
        </w:rPr>
        <w:t xml:space="preserve"> г.</w:t>
      </w:r>
    </w:p>
    <w:p w:rsidR="003815A6" w:rsidRDefault="003815A6"/>
    <w:p w:rsidR="006F4B46" w:rsidRDefault="006F4B46"/>
    <w:p w:rsidR="006F4B46" w:rsidRDefault="006F4B46"/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610"/>
        <w:gridCol w:w="2111"/>
        <w:gridCol w:w="1219"/>
        <w:gridCol w:w="853"/>
        <w:gridCol w:w="853"/>
        <w:gridCol w:w="951"/>
        <w:gridCol w:w="951"/>
        <w:gridCol w:w="951"/>
        <w:gridCol w:w="951"/>
        <w:gridCol w:w="951"/>
        <w:gridCol w:w="1500"/>
        <w:gridCol w:w="2792"/>
      </w:tblGrid>
      <w:tr w:rsidR="006F4B46" w:rsidRPr="006F4B46" w:rsidTr="006F4B46">
        <w:trPr>
          <w:trHeight w:val="987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35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Отчетная информация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Целевое (нормативное) значение показателя</w:t>
            </w:r>
          </w:p>
        </w:tc>
        <w:tc>
          <w:tcPr>
            <w:tcW w:w="2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Примечание</w:t>
            </w:r>
          </w:p>
        </w:tc>
      </w:tr>
      <w:tr w:rsidR="006F4B46" w:rsidRPr="006F4B46" w:rsidTr="006F4B46">
        <w:trPr>
          <w:trHeight w:val="1170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F4B46" w:rsidRPr="006F4B46" w:rsidTr="006F4B46">
        <w:trPr>
          <w:trHeight w:val="166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Выполнение Плана по созданию малых предприятий в рамках "Программы 500/10000"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91,67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91,67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 промежуточный. Срок реализации программы до 2020 года</w:t>
            </w:r>
          </w:p>
        </w:tc>
      </w:tr>
      <w:tr w:rsidR="006F4B46" w:rsidRPr="006F4B46" w:rsidTr="006F4B46">
        <w:trPr>
          <w:trHeight w:val="166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Выполнение Плана по созданию новых рабочих мест в рамках "Программы 500/10000"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13,75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13,75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 промежуточный. Срок реализации программы до 2020 года</w:t>
            </w:r>
          </w:p>
        </w:tc>
      </w:tr>
      <w:tr w:rsidR="006F4B46" w:rsidRPr="006F4B46" w:rsidTr="006F4B46">
        <w:trPr>
          <w:trHeight w:val="8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Содействие развитию конкуренции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единиц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9,52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9,17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9,52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9,52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9,52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9,17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итогам рейтинга ОМСУ</w:t>
            </w:r>
          </w:p>
        </w:tc>
      </w:tr>
      <w:tr w:rsidR="006F4B46" w:rsidRPr="006F4B46" w:rsidTr="006F4B46">
        <w:trPr>
          <w:trHeight w:val="96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Показатель инвестиционной активности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ранг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итогам рейтинга ОМСУ</w:t>
            </w:r>
          </w:p>
        </w:tc>
      </w:tr>
      <w:tr w:rsidR="006F4B46" w:rsidRPr="006F4B46" w:rsidTr="006F4B46">
        <w:trPr>
          <w:trHeight w:val="228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5.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Средняя продолжительность периода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подачи заявки на получение разрешения на строительство до даты получения разрешения на строительство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день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выдачу разрешения на строительство затрачивается в среднем 5 дней </w:t>
            </w:r>
          </w:p>
        </w:tc>
      </w:tr>
      <w:tr w:rsidR="006F4B46" w:rsidRPr="006F4B46" w:rsidTr="006F4B46">
        <w:trPr>
          <w:trHeight w:val="624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информационных систем обеспечения градостроительной деятельности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 выполнен на 90 % в связи с тем, что на территории района отсутствуют земельные участки для резервирования и изъятия для муниципальных нужд, также в районе нет необходимости в создании искусственных земельных участков</w:t>
            </w:r>
          </w:p>
        </w:tc>
      </w:tr>
      <w:tr w:rsidR="006F4B46" w:rsidRPr="006F4B46" w:rsidTr="006F4B46">
        <w:trPr>
          <w:trHeight w:val="730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7.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обрабатываемой пашни в общей площади пашни муниципального образования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99,96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97,74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97,74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97,74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97,74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97,74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97,74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используемые земельные участки ранее принадлежали для ведения личного подсобного хозяйства. В настоящее время ведется работа по оформлению данных участков в муниципальную собственность, с последующей передачей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сельхозтоваропроизводителям</w:t>
            </w:r>
            <w:proofErr w:type="spellEnd"/>
          </w:p>
        </w:tc>
      </w:tr>
      <w:tr w:rsidR="006F4B46" w:rsidRPr="006F4B46" w:rsidTr="006F4B46">
        <w:trPr>
          <w:trHeight w:val="148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Охват населения (18 лет и старше) профилактическими осмотрами на туберкулез в городском округе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2029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9.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Охват населения (18 лет и старше) профилактическими осмотрами на злокачественные новообразования в городском округе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540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Доступность дошкольного образования для детей в возрасте от 3 до 7 лет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94,4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81,25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Проведенная работа с родителями позволила увеличить численность детей данной возрастной категории, получающих дошкольное образование. Все дети обеспечены местами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ДО. Очереди на получение услуги нет.</w:t>
            </w:r>
          </w:p>
        </w:tc>
      </w:tr>
      <w:tr w:rsidR="006F4B46" w:rsidRPr="006F4B46" w:rsidTr="006F4B46">
        <w:trPr>
          <w:trHeight w:val="551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11.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детей в возрасте от 1 до 7 лет, получающих дошкольную образовательную услугу и (или) услугу по их содержанию (присмотру и уходу) в негосударственных (немуниципальных) организациях различных правовых форм и форм собственности от индивидуальных предпринимателей, оказывающих услуги по дошкольному образованию, присмотру и уходу, в общей численности воспитанников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Негосударственные (немуниципальные) организации на территории района отсутствуют</w:t>
            </w:r>
          </w:p>
        </w:tc>
      </w:tr>
      <w:tr w:rsidR="006F4B46" w:rsidRPr="006F4B46" w:rsidTr="006F4B46">
        <w:trPr>
          <w:trHeight w:val="551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12.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детей в возрасте от 1 до 7 лет, получающих дошкольную образовательную услугу и (или) услугу по их содержанию в муниципальных дошкольных образовательных учреждениях и негосударственных дошкольных организациях (от индивидуальных предпринимателей), в численности детей в возрасте от 1 до 7 лет, проживающих в муниципальном образовании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67,53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84,75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87,36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85,66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85,66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85,66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84,94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 показателя обусловлен проведенной работой с родителями по привлечению детей до 3 лет в дошкольные образовательные учреждения</w:t>
            </w:r>
          </w:p>
        </w:tc>
      </w:tr>
      <w:tr w:rsidR="006F4B46" w:rsidRPr="006F4B46" w:rsidTr="006F4B46">
        <w:trPr>
          <w:trHeight w:val="327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детей в возрасте от 0 до 3 лет, охваченных программами поддержки раннего развития, в общей численности детского населения в возрасте от 0 до 3 лет в муниципальном образовании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43,05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36,59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81,38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49,75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49,75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49,77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51,11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46,38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рост показателя обусловлен открытием  группы кратковременного пребывания на базе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Камызинского</w:t>
            </w:r>
            <w:proofErr w:type="spell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детского сада</w:t>
            </w:r>
          </w:p>
        </w:tc>
      </w:tr>
      <w:tr w:rsidR="006F4B46" w:rsidRPr="006F4B46" w:rsidTr="006F4B46">
        <w:trPr>
          <w:trHeight w:val="283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14.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5,59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8,76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9,49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9,49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9,49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9,49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8,76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 показателя за счет увеличения количества молодых педагогов</w:t>
            </w:r>
          </w:p>
        </w:tc>
      </w:tr>
      <w:tr w:rsidR="006F4B46" w:rsidRPr="006F4B46" w:rsidTr="006F4B46">
        <w:trPr>
          <w:trHeight w:val="257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Численность обучающихся муниципальных образовательных организаций в расчете на 1 педагогического работника, реализующего программы общего образования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Человек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7,08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7,45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7,25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7,25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7,25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7,25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7,41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обучающихся уменьшилось на 17 человек</w:t>
            </w:r>
          </w:p>
        </w:tc>
      </w:tr>
      <w:tr w:rsidR="006F4B46" w:rsidRPr="006F4B46" w:rsidTr="006F4B46">
        <w:trPr>
          <w:trHeight w:val="379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63,13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62,91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61,34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85,22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85,22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85,22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85,22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62,39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достигнутза</w:t>
            </w:r>
            <w:proofErr w:type="spell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счет большей заинтересованности обучающихся в олимпиадном движении, увеличения количества творческих конкурсов</w:t>
            </w:r>
          </w:p>
        </w:tc>
      </w:tr>
      <w:tr w:rsidR="006F4B46" w:rsidRPr="006F4B46" w:rsidTr="006F4B46">
        <w:trPr>
          <w:trHeight w:val="470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17.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Удельный вес общеобразовательных учреждений в муниципальном районе, городском округе, в которых обучаются победители и призеры предметных олимпиад и интеллектуальных конкурсов регионального уровня (согласно календарю массовых мероприятий с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департамента образования Белгородской области)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 показателя обусловлен увеличением количества обучающихся победителей и призеров интеллектуальных конкурсов регионального уровня</w:t>
            </w:r>
          </w:p>
        </w:tc>
      </w:tr>
      <w:tr w:rsidR="006F4B46" w:rsidRPr="006F4B46" w:rsidTr="006F4B46">
        <w:trPr>
          <w:trHeight w:val="569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18.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Удельный вес общеобразовательных учреждений в муниципальном районе, городском округе, в которых обучаются победители и призеры предметных олимпиад и интеллектуальных конкурсов всероссийского уровня (согласно календарю массовых мероприятий с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департамента образования Белгородской области)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увеличение доли общеобразовательных учреждений, в которых обучаются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победители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призеры интеллектуальных конкурсов всероссийского уровня связано с увеличением количества призеров исследовательских конкурсов </w:t>
            </w:r>
          </w:p>
        </w:tc>
      </w:tr>
      <w:tr w:rsidR="006F4B46" w:rsidRPr="006F4B46" w:rsidTr="006F4B46">
        <w:trPr>
          <w:trHeight w:val="6499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19.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Привлечение муниципальным районом, городским округом средств благотворителей и меценатов для оказания безвозмездной помощи в организации и проведении предметных олимпиад и интеллектуальных конкурсов муниципального, регионального и всероссийского уровней (согласно календарю массовых мероприятий с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департамента образования Белгородской области)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рублей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благотворителей и меценатов для оказания безвозмездной помощи в организации и проведении предметных олимпиад и интеллектуальных конкурсов муниципального, регионального и всероссийского уровней не привлекались</w:t>
            </w:r>
          </w:p>
        </w:tc>
      </w:tr>
      <w:tr w:rsidR="006F4B46" w:rsidRPr="006F4B46" w:rsidTr="006F4B46">
        <w:trPr>
          <w:trHeight w:val="379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20.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Удельный вес численности обучающихся по программам дополнительного образования, участвующих</w:t>
            </w: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 олимпиадах и конкурсах регионального и всероссийского уровней, в общей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обучающихся</w:t>
            </w: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по программам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26,85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29,75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47,99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46,02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46,02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показателя произошло за счет организации внеурочной деятельности обучающихся 8 классов всех школ и 11 классов пилотных проектов</w:t>
            </w:r>
          </w:p>
        </w:tc>
      </w:tr>
      <w:tr w:rsidR="006F4B46" w:rsidRPr="006F4B46" w:rsidTr="006F4B46">
        <w:trPr>
          <w:trHeight w:val="41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муниципальных образовательных организаций, использующих при реализации программ дополнительного образования детей ресурсы негосударственного сектора, от общего числа муниципальных образовательных организаций дополнительного образования детей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муниципальные образовательные организации дополнительного образования не используют  ресурсы негосударственного сектора</w:t>
            </w:r>
          </w:p>
        </w:tc>
      </w:tr>
      <w:tr w:rsidR="006F4B46" w:rsidRPr="006F4B46" w:rsidTr="006F4B46">
        <w:trPr>
          <w:trHeight w:val="228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22.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населения в возрасте от 6 до 29 лет, принявшего участие в тестировании всероссийского спортивного комплекса «Готов к труду и обороне» (ГТО)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72,27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34,2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35,16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0,22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26,9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27,8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28,52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36,65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488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Итоговое участие в спартакиаде «За физическое и нравственное здоровье нации» муниципального района (городского округа):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</w:t>
            </w:r>
            <w:proofErr w:type="spell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 23-20 - 5 баллов, 19-16 - 7 баллов, 15-10 - 8 баллов, 9-7 - 9 баллов, 6-4 - 10 баллов, 3 - 15 баллов, 2 - 20 баллов, 1 - 25 баллов, неучастие - (-10) баллов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Балл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Показатель остается на прежнем уровне в связи с тем, что по итогам участия в спартакиаде, занимаемые места районом  остаются в диапазоне от 15 до 10 места, что соответствует 8 баллам </w:t>
            </w:r>
          </w:p>
        </w:tc>
      </w:tr>
      <w:tr w:rsidR="006F4B46" w:rsidRPr="006F4B46" w:rsidTr="006F4B46">
        <w:trPr>
          <w:trHeight w:val="434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24.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Объем расходов бюджета муниципального района (городского округа) на организацию и проведение спортивных мероприятий, приходящихся в среднем на одного жителя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рублей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Показатель остается на прежнем уровне в связи с незначительным увеличением бюджета выделяемого на организацию и проведение спортивных мероприятий </w:t>
            </w:r>
          </w:p>
        </w:tc>
      </w:tr>
      <w:tr w:rsidR="006F4B46" w:rsidRPr="006F4B46" w:rsidTr="006F4B46">
        <w:trPr>
          <w:trHeight w:val="273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детей, занимающихся в специализированных спортивных учреждениях, в общей численности детей в возрасте от 6 до 15 лет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29,18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34,51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37,23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33,42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34,6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35,44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35,44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37,23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детей уменьшилась в связи с закрытием секции бокса по причине отсутствия тренера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реподавателя</w:t>
            </w:r>
          </w:p>
        </w:tc>
      </w:tr>
      <w:tr w:rsidR="006F4B46" w:rsidRPr="006F4B46" w:rsidTr="006F4B46">
        <w:trPr>
          <w:trHeight w:val="353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26. 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жилых квартир в расчете на 1 тыс. человек населения - всего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Единицы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639,87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659,73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672,86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687,71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703,7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716,4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722,9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677,9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Показатель повысился за счет изменений учета и статуса многоквартирных блокированных домов внесенных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РОССТАТом</w:t>
            </w:r>
            <w:proofErr w:type="spell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2018г.</w:t>
            </w:r>
          </w:p>
        </w:tc>
      </w:tr>
      <w:tr w:rsidR="006F4B46" w:rsidRPr="006F4B46" w:rsidTr="006F4B46">
        <w:trPr>
          <w:trHeight w:val="434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26.1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в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введенных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действие за год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Единицы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6,68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5,55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3,89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4,16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4,55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3,81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Снижение показателя произошло в связи с введением в эксплуатацию одноэтажных жилых домов. Многоквартирные жилые дома на территории района не строились </w:t>
            </w:r>
          </w:p>
        </w:tc>
      </w:tr>
      <w:tr w:rsidR="006F4B46" w:rsidRPr="006F4B46" w:rsidTr="006F4B46">
        <w:trPr>
          <w:trHeight w:val="819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27.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участие субъекта Российской Федерации и (или) городского округа (муниципального района) в уставном капитале которых составляет не более</w:t>
            </w: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25 процентов, в общем числе организаций, осуществляющих данные виды деятельности на территории городского округа (муниципального района), кроме товариществ собственников жилья, жилищных, жилищно-строительных кооперативов и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иных специализированных потребительских кооперативов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Единицы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148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28.1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подписанных паспортов готовности (по состоянию на 15 ноября отчетного года) жилищного фонда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148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28.2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подписанных паспортов готовности (по состоянию на 15 ноября отчетного года) котельных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176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29.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населения, проживающего в многоквартирных домах, признанных в установленном порядке аварийными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257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трудоустроенных граждан в общей численности граждан, обратившихся в подведомственные учреждения службы занятости населения с целью поиска подходящей работы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52,85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76,1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76,63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78,93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77,49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77,81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78,12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77,17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408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31. 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Общий объем расходов бюджета муниципального образования - всего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рублей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512657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551891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581975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680973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737689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764011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742155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680973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производились в соответствии с фактической потребностью,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плановых значений. Кредиторской задолженности на конец года нет </w:t>
            </w:r>
          </w:p>
        </w:tc>
      </w:tr>
      <w:tr w:rsidR="006F4B46" w:rsidRPr="006F4B46" w:rsidTr="006F4B46">
        <w:trPr>
          <w:trHeight w:val="273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31.1.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том числе в части бюджетных инвестиций на увеличение стоимости основных средств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рублей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13684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4011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5093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10254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117913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93919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5093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2018 году инвестиции на увеличение стоимости основных средств были не значительные </w:t>
            </w:r>
          </w:p>
        </w:tc>
      </w:tr>
      <w:tr w:rsidR="006F4B46" w:rsidRPr="006F4B46" w:rsidTr="006F4B46">
        <w:trPr>
          <w:trHeight w:val="408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32.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Общий объем расходов консолидированного бюджета муниципального района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рублей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511970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545259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567986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668473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725299,3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748726,8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723474,9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668473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производились в соответствии с фактической потребностью,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плановых значений. Кредиторской задолженности на конец года нет </w:t>
            </w:r>
          </w:p>
        </w:tc>
      </w:tr>
      <w:tr w:rsidR="006F4B46" w:rsidRPr="006F4B46" w:rsidTr="006F4B46">
        <w:trPr>
          <w:trHeight w:val="408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расходов бюджета городского округа (муниципального района), формируемых в рамках программ, в общем объеме расходов бюджета городского округа (муниципального района) без учета субвенций на исполнение делегируемых полномочий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64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61,68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61,02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67,34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66,6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56,9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56,9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67,34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производились в соответствии с фактической потребностью,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плановых значений. Кредиторской задолженности на конец года нет </w:t>
            </w:r>
          </w:p>
        </w:tc>
      </w:tr>
      <w:tr w:rsidR="006F4B46" w:rsidRPr="006F4B46" w:rsidTr="006F4B46">
        <w:trPr>
          <w:trHeight w:val="408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34.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нормативных правовых актов, включенных в регистр муниципальных нормативных правовых актов Белгородской области, из числа принятых нормативных правовых актов органов местного самоуправления муниципального района, городского округа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Нормативно правовые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акты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принятые в муниципальном районе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включенны</w:t>
            </w:r>
            <w:proofErr w:type="spell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регистр муниципальных нормативных правовых актов Белгородской области</w:t>
            </w:r>
          </w:p>
        </w:tc>
      </w:tr>
      <w:tr w:rsidR="006F4B46" w:rsidRPr="006F4B46" w:rsidTr="006F4B46">
        <w:trPr>
          <w:trHeight w:val="811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35.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выявленных лицевых счетов с недостоверными данными в общем объеме лицевых счетов муниципального района (городского округа)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0,34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Ежегодный мониторинг лицевых счетов с недостоверными данными проводится на основании Приказа Минсельхоза России от 11.10.2010 №345. Недостоверные данные в лицевых счетах заключаются в отсутствии подписей владельцев домовладений в связи с их отсутствием на территории района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6F4B46" w:rsidRPr="006F4B46" w:rsidTr="006F4B46">
        <w:trPr>
          <w:trHeight w:val="3379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36.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Удельный вес работ, осуществляемых мобильными бригадами на территории муниципального района, городского округа, в общем объеме работ, осуществляемых поставщиками работ на территории муниципального района, городского округа за год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218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37.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бесхозяйных (брошенных) домовладений на территории муниципального района, городского округа за год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Единицы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Данные выявлены в результате инвентаризации. Ведется работа по наведению порядка.</w:t>
            </w:r>
          </w:p>
        </w:tc>
      </w:tr>
      <w:tr w:rsidR="006F4B46" w:rsidRPr="006F4B46" w:rsidTr="006F4B46">
        <w:trPr>
          <w:trHeight w:val="309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энергетических ресурсов,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расчеты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округа, муниципального района: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137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38.1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электрическая энергия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99,24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99,33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99,56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99,74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99,74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99,74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99,74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99,56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за счет установки приборов учета</w:t>
            </w:r>
          </w:p>
        </w:tc>
      </w:tr>
      <w:tr w:rsidR="006F4B46" w:rsidRPr="006F4B46" w:rsidTr="006F4B46">
        <w:trPr>
          <w:trHeight w:val="137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38.2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тепловая энергия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94,93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95,5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96,7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96,71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96,5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за счет установки приборов учета</w:t>
            </w:r>
          </w:p>
        </w:tc>
      </w:tr>
      <w:tr w:rsidR="006F4B46" w:rsidRPr="006F4B46" w:rsidTr="006F4B46">
        <w:trPr>
          <w:trHeight w:val="137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38.3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горячая вода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89,51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89,53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94,88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94,88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94,88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94,88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93,01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за счет установки приборов учета</w:t>
            </w:r>
          </w:p>
        </w:tc>
      </w:tr>
      <w:tr w:rsidR="006F4B46" w:rsidRPr="006F4B46" w:rsidTr="006F4B46">
        <w:trPr>
          <w:trHeight w:val="137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38.4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холодная вода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86,9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87,47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89,33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97,51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97,51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97,51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97,51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93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за счет установки приборов учета</w:t>
            </w:r>
          </w:p>
        </w:tc>
      </w:tr>
      <w:tr w:rsidR="006F4B46" w:rsidRPr="006F4B46" w:rsidTr="006F4B46">
        <w:trPr>
          <w:trHeight w:val="137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38.5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природный газ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97,43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98,18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98,64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98,64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98,64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98,64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98,2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за счет установки приборов учета</w:t>
            </w:r>
          </w:p>
        </w:tc>
      </w:tr>
      <w:tr w:rsidR="006F4B46" w:rsidRPr="006F4B46" w:rsidTr="006F4B46">
        <w:trPr>
          <w:trHeight w:val="192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Общий коэффициент рождаемости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родившихся детей на 1000 человек населения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7,32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7,92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8,15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6,25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8,2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6,25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Увеличение показателя планируется за счет популяризации семейных ценностей </w:t>
            </w:r>
          </w:p>
        </w:tc>
      </w:tr>
      <w:tr w:rsidR="006F4B46" w:rsidRPr="006F4B46" w:rsidTr="006F4B46">
        <w:trPr>
          <w:trHeight w:val="408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40.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Общий коэффициент смертности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умерших на 1000 человек населения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21,63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22,56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21,02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23,22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22,2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22,2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22,4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23,2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Стабилизация показателя планируется за счет привлечения жителей района к прохождению диспансеризации и увлечению занятия финской ходьбой </w:t>
            </w:r>
          </w:p>
        </w:tc>
      </w:tr>
      <w:tr w:rsidR="006F4B46" w:rsidRPr="006F4B46" w:rsidTr="006F4B46">
        <w:trPr>
          <w:trHeight w:val="819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41.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детей, оставшихся без попечения родителей – всего: в том числе переданных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неродственникам</w:t>
            </w:r>
            <w:proofErr w:type="spell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</w:t>
            </w:r>
            <w:proofErr w:type="gramEnd"/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98,7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98,84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98,74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99,11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99,07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99,07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99,07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98,71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2018 году уменьшилось численность детей оставшихся без попечения родителей, которые состоят в органе опеки и попечительства на 9 человек, из них 2 чел возвращено в семью; 3 чел достигли совершеннолетия;1 чел находится на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гособеспечении</w:t>
            </w:r>
            <w:proofErr w:type="spell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учебном заведении; 3 чел выбыли за пределы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мунициального</w:t>
            </w:r>
            <w:proofErr w:type="spell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F4B46" w:rsidRPr="006F4B46" w:rsidTr="006F4B46">
        <w:trPr>
          <w:trHeight w:val="379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42.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Стоимость валовой продукции сельского хозяйства в действующих ценах на 1 га пашни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рублей на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64,69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69,85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72,92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74,74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82,56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85,05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87,18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77,04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Увеличение стоимости валовой продукции сельского хозяйства связано с выходом на проектную мощность молочного комплекса ЗАО "Молоко Белогорье" </w:t>
            </w:r>
          </w:p>
        </w:tc>
      </w:tr>
      <w:tr w:rsidR="006F4B46" w:rsidRPr="006F4B46" w:rsidTr="006F4B46">
        <w:trPr>
          <w:trHeight w:val="327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43.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Общее количество произведенного товарного меда в муниципальном районе (городском округе)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Килограмм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163180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165000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94150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92330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95000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95200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94900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Снижение показателя по отношению к предыдущему году произошло из-за неблагоприятных погодных условий </w:t>
            </w:r>
          </w:p>
        </w:tc>
      </w:tr>
      <w:tr w:rsidR="006F4B46" w:rsidRPr="006F4B46" w:rsidTr="006F4B46">
        <w:trPr>
          <w:trHeight w:val="327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44.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Бюджетная обеспеченность на одного жителя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Рубли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8793,39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9890,44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10382,02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11048,85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11883,77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12762,19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13770,71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10710,8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Бюджетная обеспеченность выросла за счет увеличения поступлений налога на доходы физических лиц, земельного налога</w:t>
            </w:r>
          </w:p>
        </w:tc>
      </w:tr>
      <w:tr w:rsidR="006F4B46" w:rsidRPr="006F4B46" w:rsidTr="006F4B46">
        <w:trPr>
          <w:trHeight w:val="379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доходов от арендных платежей за землю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3,05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8,27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8,17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10,23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7,31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6,91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10,29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доходов от арендных платежей увеличилась за счет увеличения ставок арендной платы по землям с/х назначения с 2800 до 3900 рублей за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</w:p>
        </w:tc>
      </w:tr>
      <w:tr w:rsidR="006F4B46" w:rsidRPr="006F4B46" w:rsidTr="006F4B46">
        <w:trPr>
          <w:trHeight w:val="327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46.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налоговых поступлений от малого предпринимательства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5,43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7,64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7,78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7,82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7,88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7,93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7,78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поступлений от малого предпринимательства выросла за счет увеличения платежей по земельному налогу и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НдфЛ</w:t>
            </w:r>
            <w:proofErr w:type="spellEnd"/>
          </w:p>
        </w:tc>
      </w:tr>
      <w:tr w:rsidR="006F4B46" w:rsidRPr="006F4B46" w:rsidTr="006F4B46">
        <w:trPr>
          <w:trHeight w:val="247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47.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Объём финансовых средств, привлеченных попечительским советом по поддержке детского творчества,</w:t>
            </w: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из расчета на душу населения территории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Рубли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14,54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39,57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43,29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41,12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41,7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42,32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42,94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40,51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 растет в связи с сохранением объема привлеченных финансовых средств</w:t>
            </w:r>
          </w:p>
        </w:tc>
      </w:tr>
      <w:tr w:rsidR="006F4B46" w:rsidRPr="006F4B46" w:rsidTr="006F4B46">
        <w:trPr>
          <w:trHeight w:val="228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Удельный вес молодежи в возрасте от 14 до 30 лет, охваченной мероприятиями молодежной политики, к общему числу молодежи в возрасте от 14 до 30 лет: 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75,57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81,45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76,24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88,24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88,19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89,08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89,9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77,76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273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49.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семейных ферм на 1000 жилых частных домовладений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Единицы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33,52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33,36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33,69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34,28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34,28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34,28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34,28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34,28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рамках реализации программ ы "Семейные фермы Белогорья" в 2018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году достигнут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плановый показатель</w:t>
            </w:r>
          </w:p>
        </w:tc>
      </w:tr>
      <w:tr w:rsidR="006F4B46" w:rsidRPr="006F4B46" w:rsidTr="006F4B46">
        <w:trPr>
          <w:trHeight w:val="5149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Объем производства товаров и услуг в расчете на одну семейную ферму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рублей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1650,78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1596,85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1539,4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1696,87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1696,96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1696,96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1696,96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1527,27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перспективным планом развития сельских территорий района с учетом отраслевой специализации начато развитие отраслей овощеводства закрытого грунта и садоводства</w:t>
            </w:r>
          </w:p>
        </w:tc>
      </w:tr>
      <w:tr w:rsidR="006F4B46" w:rsidRPr="006F4B46" w:rsidTr="006F4B46">
        <w:trPr>
          <w:trHeight w:val="192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51.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Среднее количество сельского населения, занятого в одной семейной ферме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Человек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1,51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1,57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1,55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Увеличение показателя в 2018 году связано с привлечением сезонных работников </w:t>
            </w:r>
          </w:p>
        </w:tc>
      </w:tr>
      <w:tr w:rsidR="006F4B46" w:rsidRPr="006F4B46" w:rsidTr="006F4B46">
        <w:trPr>
          <w:trHeight w:val="247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52.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членов снабженческо-сбытовых сельскохозяйственных потребительских кооперативов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Человек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 развития сельскохозяйственной кооперации выполнен, В 2018 году создано 3 СССПОК</w:t>
            </w:r>
          </w:p>
        </w:tc>
      </w:tr>
      <w:tr w:rsidR="006F4B46" w:rsidRPr="006F4B46" w:rsidTr="006F4B46">
        <w:trPr>
          <w:trHeight w:val="166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53.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семейных ферм, вовлеченных в программу по развитию садоводства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Единицы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районе 2 семейные фермы осуществляют уход за садом</w:t>
            </w:r>
          </w:p>
        </w:tc>
      </w:tr>
      <w:tr w:rsidR="006F4B46" w:rsidRPr="006F4B46" w:rsidTr="006F4B46">
        <w:trPr>
          <w:trHeight w:val="327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54.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трудоспособного сельского населения, участвующего в программе «Семейные фермы Белогорья»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4,81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8,29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8,46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8,7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8,79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8,88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8,96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8,5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Рост показателя в 2019-2021 годах планируется за счет увеличения количества жителей, ведущих семейный бизнес </w:t>
            </w:r>
          </w:p>
        </w:tc>
      </w:tr>
      <w:tr w:rsidR="006F4B46" w:rsidRPr="006F4B46" w:rsidTr="006F4B46">
        <w:trPr>
          <w:trHeight w:val="624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55.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Уровень регистрируемой безработицы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1,95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1,13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1,05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1,05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1,05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1,05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1,05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значения показателя связано с увеличением числа новых рабочих мест как на вновь созданных предприятиях (ООО «Тандер», ООО «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Спецкорма</w:t>
            </w:r>
            <w:proofErr w:type="spell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»), так и на уже действующих предприятиях ООО «Молоко Белогорья». </w:t>
            </w:r>
          </w:p>
        </w:tc>
      </w:tr>
      <w:tr w:rsidR="006F4B46" w:rsidRPr="006F4B46" w:rsidTr="006F4B46">
        <w:trPr>
          <w:trHeight w:val="8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56.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неработающего населения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64,93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64,32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65,25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62,17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65,25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65,25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65,25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65,25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39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57.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случаев возгорания сухой травы и растительных остатков, выжигания сухого камыша, хвороста, хвойной подстилки, несанкционированного сжигания стерни, пожнивных остатков, промышленных отходов, бытового и строительного мусора на территории муниципального района (городского округа)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Единицы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Самовозгорание послужило причиной возгорания сухой травы</w:t>
            </w:r>
          </w:p>
        </w:tc>
      </w:tr>
      <w:tr w:rsidR="006F4B46" w:rsidRPr="006F4B46" w:rsidTr="006F4B46">
        <w:trPr>
          <w:trHeight w:val="460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58.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Выполнение Плана посадки лесных культур по направлению «Облесение эрозионно-опасных участков, деградированных и малопродуктивных угодий и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водоохранных</w:t>
            </w:r>
            <w:proofErr w:type="spell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зон водных объектов» областного проекта «Зеленая столица»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Показатель выполнен в полном объеме. На площади 273 га высажено более 900 тыс. штук сеянцев лесных культур. Посадочным материалом обеспечивало ОГАУ "Алексеевский лесхоз" </w:t>
            </w:r>
          </w:p>
        </w:tc>
      </w:tr>
      <w:tr w:rsidR="006F4B46" w:rsidRPr="006F4B46" w:rsidTr="006F4B46">
        <w:trPr>
          <w:trHeight w:val="730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59.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Выполнение Планов пересадки погибших площадей лесных культур, ремонта (дополнения) лесных культур по направлению «Облесение эрозионно-опасных участков, деградированных и малопродуктивных угодий и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водоохранных</w:t>
            </w:r>
            <w:proofErr w:type="spell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зон водных объектов» областного проекта «Зеленая столица»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результатам проведенной инвентаризации 2018 года необходимо было провести ремонт и восстановление изреженных площадей на 200 га. План выполнен в полном объеме. Посадка проведена сеянцами лесных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полученными от ОГАУ "Алексеевский лесхоз" </w:t>
            </w:r>
          </w:p>
        </w:tc>
      </w:tr>
      <w:tr w:rsidR="006F4B46" w:rsidRPr="006F4B46" w:rsidTr="006F4B46">
        <w:trPr>
          <w:trHeight w:val="273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60.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обращений граждан по вопросам качества предоставления муниципальных услуг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вопросу некачественного предоставления муниципальных услуг граждане района не обращались </w:t>
            </w:r>
          </w:p>
        </w:tc>
      </w:tr>
      <w:tr w:rsidR="006F4B46" w:rsidRPr="006F4B46" w:rsidTr="006F4B46">
        <w:trPr>
          <w:trHeight w:val="273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61.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объектов недвижимости, право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которые зарегистрировано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78,89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79,09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79,12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79,77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80,01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81,02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82,09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79,11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Проводится разъяснительная работа с гражданами по регистрации права собственности</w:t>
            </w:r>
          </w:p>
        </w:tc>
      </w:tr>
      <w:tr w:rsidR="006F4B46" w:rsidRPr="006F4B46" w:rsidTr="006F4B46">
        <w:trPr>
          <w:trHeight w:val="273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земельных участков,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 границах которых внесены в Государственный кадастр недвижимости по результатам межевания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58,85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69,1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67,82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68,06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68,27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68,66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68,89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67,82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Проводится разъяснительная работа с гражданами по проведению межевания земельных участков</w:t>
            </w:r>
          </w:p>
        </w:tc>
      </w:tr>
      <w:tr w:rsidR="006F4B46" w:rsidRPr="006F4B46" w:rsidTr="006F4B46">
        <w:trPr>
          <w:trHeight w:val="364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63.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Средняя продолжительность периода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подачи заявления на предоставление земельного участка для строительства до даты принятия решения о предоставлении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земельного участка для строительства или подписания протокола о результатах аукциона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Месяцы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Показатель рассчитывается исходя из сроков проведения работ по формированию земельного участка и проведению торгов </w:t>
            </w:r>
          </w:p>
        </w:tc>
      </w:tr>
      <w:tr w:rsidR="006F4B46" w:rsidRPr="006F4B46" w:rsidTr="006F4B46">
        <w:trPr>
          <w:trHeight w:val="176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64.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Ежегодный объем отгруженных инновационных товаров, работ и услуг в муниципальных районах (городских округах)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рублей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Инновационные товары в районе не производятся </w:t>
            </w:r>
          </w:p>
        </w:tc>
      </w:tr>
      <w:tr w:rsidR="006F4B46" w:rsidRPr="006F4B46" w:rsidTr="006F4B46">
        <w:trPr>
          <w:trHeight w:val="122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64.1.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в том числе на одного работника в муниципальном районе (городском округе)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рублей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379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65.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Ежегодные затраты на технологические, маркетинговые и организационные инновации крупных и средних организаций в муниципальных районах (городских округах)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рублей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Затраты на технологические, маркетинговые и организационные инновации крупных и средних организаций района не производились </w:t>
            </w:r>
          </w:p>
        </w:tc>
      </w:tr>
      <w:tr w:rsidR="006F4B46" w:rsidRPr="006F4B46" w:rsidTr="006F4B46">
        <w:trPr>
          <w:trHeight w:val="122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65.1.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в том числе на одного работника в муниципальном районе (городском округе)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рублей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41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66.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выпускников профессиональных образовательных организаций (ПОО), расположенных на территории муниципального района (городского округа), трудоустроенных согласно заявкам муниципалитетов, к общему количеству выпускников, обученных в соответствии с указанными заявками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Профессиональных образовательных организаций на территории района нет </w:t>
            </w:r>
          </w:p>
        </w:tc>
      </w:tr>
      <w:tr w:rsidR="006F4B46" w:rsidRPr="006F4B46" w:rsidTr="006F4B46">
        <w:trPr>
          <w:trHeight w:val="444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67.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финансовых затрат хозяйствующих субъектов на развитие материально-технической базы ПОО, расположенных на территории муниципального района (городского округа), по отношению к объемам финансирования указанных образовательных учреждений за счет средств областного и местного бюджетов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3379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68. 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выпускников ПОО прошедшего учебного года, трудоустроившихся в муниципальные организации социальной сферы, расположенные на территории муниципального района (городского округа), по договорам образовательного займа и целевого обучения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257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69.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трудоустроенных в городских округах и муниципальных районах области выпускников, обучавшихся в рамках целевого приема в образовательных организациях высшего образования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66,67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67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70.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Объем освоенных федеральных денежных средств, полученных в форме субсидий, в расчете на одного жителя муниципального района (городского округа)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рублей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0,16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0,25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производились в соответствии с фактической потребностью,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плановых назначений. Кредиторской задолженности на конец года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 Денежные средства были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израсходованы на жилье "Молодых семей" и расходы по отрасли "культура"</w:t>
            </w:r>
          </w:p>
        </w:tc>
      </w:tr>
      <w:tr w:rsidR="006F4B46" w:rsidRPr="006F4B46" w:rsidTr="006F4B46">
        <w:trPr>
          <w:trHeight w:val="228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71.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освоенных федеральных денежных средств, полученных в форме субсидий, в общем объеме расходов бюджета муниципального района (городского округа)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0,39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0,12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0,55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0,12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595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72. 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освоенных внебюджетных денежных сре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дств в р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асчете на одного жителя муниципального района (городского округа)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рублей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1,32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3,48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0,47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2018 году внебюджетные денежные средства расходовались на оказание социальной помощи </w:t>
            </w:r>
            <w:proofErr w:type="gram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гражданам</w:t>
            </w:r>
            <w:proofErr w:type="gram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попавшим в трудную жизненную ситуацию, на приобретение саженцев и решение прочих социально важных вопросов</w:t>
            </w:r>
          </w:p>
        </w:tc>
      </w:tr>
      <w:tr w:rsidR="006F4B46" w:rsidRPr="006F4B46" w:rsidTr="006F4B46">
        <w:trPr>
          <w:trHeight w:val="176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73.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освоенных внебюджетных денежных средств в общем объеме расходов бюджета муниципального района (городского округа)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0,36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2,9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7,28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B46" w:rsidRPr="006F4B46" w:rsidTr="006F4B46">
        <w:trPr>
          <w:trHeight w:val="488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74.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Проекты, рассмотренные на заседании "малого" Правительства области в отчетном периоде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единицы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2017 году на заседании Правительства области проекты </w:t>
            </w:r>
            <w:proofErr w:type="spellStart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Красненского</w:t>
            </w:r>
            <w:proofErr w:type="spellEnd"/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не рассматривались. В 2018-2020 годах запланировано представлять не менее одного проекта ежегодно </w:t>
            </w:r>
          </w:p>
        </w:tc>
      </w:tr>
      <w:tr w:rsidR="006F4B46" w:rsidRPr="006F4B46" w:rsidTr="006F4B46">
        <w:trPr>
          <w:trHeight w:val="228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75.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годового проектно-премиального фонда в среднемесячной заработной плате сотрудника администрации муниципального района (городского округа)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21,71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21,71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25,83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35,85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32,05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30,81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30,81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40,13 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46" w:rsidRPr="006F4B46" w:rsidRDefault="006F4B46" w:rsidP="006F4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Показатель вырос за счет увеличения общего годового премиального фонда </w:t>
            </w:r>
          </w:p>
        </w:tc>
      </w:tr>
    </w:tbl>
    <w:p w:rsidR="006F4B46" w:rsidRDefault="006F4B46"/>
    <w:sectPr w:rsidR="006F4B46" w:rsidSect="006F4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9E"/>
    <w:rsid w:val="0028159E"/>
    <w:rsid w:val="003815A6"/>
    <w:rsid w:val="006F4B46"/>
    <w:rsid w:val="0087765B"/>
    <w:rsid w:val="009A32C8"/>
    <w:rsid w:val="00A47A94"/>
    <w:rsid w:val="00C93DF8"/>
    <w:rsid w:val="00D4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B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4B46"/>
    <w:rPr>
      <w:color w:val="800080"/>
      <w:u w:val="single"/>
    </w:rPr>
  </w:style>
  <w:style w:type="paragraph" w:customStyle="1" w:styleId="xl65">
    <w:name w:val="xl65"/>
    <w:basedOn w:val="a"/>
    <w:rsid w:val="006F4B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6F4B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F4B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6F4B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a5">
    <w:name w:val="Содержимое врезки"/>
    <w:basedOn w:val="a"/>
    <w:rsid w:val="006F4B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B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4B46"/>
    <w:rPr>
      <w:color w:val="800080"/>
      <w:u w:val="single"/>
    </w:rPr>
  </w:style>
  <w:style w:type="paragraph" w:customStyle="1" w:styleId="xl65">
    <w:name w:val="xl65"/>
    <w:basedOn w:val="a"/>
    <w:rsid w:val="006F4B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6F4B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F4B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6F4B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a5">
    <w:name w:val="Содержимое врезки"/>
    <w:basedOn w:val="a"/>
    <w:rsid w:val="006F4B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Usser</cp:lastModifiedBy>
  <cp:revision>2</cp:revision>
  <dcterms:created xsi:type="dcterms:W3CDTF">2023-03-21T12:30:00Z</dcterms:created>
  <dcterms:modified xsi:type="dcterms:W3CDTF">2023-03-21T12:30:00Z</dcterms:modified>
</cp:coreProperties>
</file>