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color w:val="273350"/>
          <w:sz w:val="32"/>
          <w:szCs w:val="32"/>
        </w:rPr>
        <w:t xml:space="preserve">Состоялось заседание рабочей группы по противодействию нелегальной занятости.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273350"/>
          <w:sz w:val="24"/>
        </w:rPr>
        <w:t xml:space="preserve">             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24  октября 2024 года в администрации Красненского района состоялось очередное  заседание рабочей группы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.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По вопросу организации трудовых отношений с наемными работниками в соответствии с трудовым законодательством и обеспечением роста среднемесячной заработной платы.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 Рассмотрено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1 предприятие с  численностью работающих -  3 человека. Нарушений требований трудового законодательства не выявлено.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        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  Также на заседании рабочей группы были рассмотрены хозяйствующие субъекты зарегистрированные  в качестве самозанятых граждан, ранее осуществляющих деятельность без регистрации.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      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Руководителю рекомендовано не допускать в своей деятельности нелегальных трудовых отношений, оформлять трудовые договоры в соответствии с требованиями Трудового кодекса РФ (56-59 ТК РФ), не подменять трудовые отношения гражданско-правовыми отн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ошениями (ст.15 ТК РФ), соблюдать сроки и порядок выплаты заработной платы (ст.136 ТК РФ), соблюдать режим работы и отдыха, предоставлять сотрудникам оплачиваемые отпуска и выходные дни в соответствии с законодательством (статьи 91, 99, 106, 107 ТК РФ), об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еспечить требование безопасности труда (статьи 212, 225 ТК РФ), обеспечить повышение уровня средней заработной платы работникам с учетом официального уровня инфляции                     (ст.134 ТК РФ</w:t>
      </w:r>
      <w:r>
        <w:rPr>
          <w:rFonts w:ascii="Tinos" w:hAnsi="Tinos" w:eastAsia="Tinos" w:cs="Tinos"/>
          <w:color w:val="auto"/>
          <w:sz w:val="26"/>
          <w:szCs w:val="26"/>
        </w:rPr>
        <w:t xml:space="preserve">).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       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  <w:t xml:space="preserve">                </w:t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2024-11-07T12:29:15Z</dcterms:modified>
</cp:coreProperties>
</file>