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A74FB7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="006014C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 xml:space="preserve">«О внесении изменений в постановление администрации муниципального </w:t>
            </w:r>
            <w:r w:rsidR="00435BD9">
              <w:rPr>
                <w:rFonts w:eastAsia="Cambria" w:cs="Times New Roman"/>
                <w:sz w:val="24"/>
                <w:szCs w:val="24"/>
              </w:rPr>
              <w:t>района «Красненский район» от 19.12.2024 года № 124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 xml:space="preserve"> «Об утверждении муниципальной программы Красненского района «Социальная поддержка граждан в </w:t>
            </w:r>
            <w:proofErr w:type="spellStart"/>
            <w:r w:rsidR="00A74FB7" w:rsidRPr="00A74FB7">
              <w:rPr>
                <w:rFonts w:eastAsia="Cambria" w:cs="Times New Roman"/>
                <w:sz w:val="24"/>
                <w:szCs w:val="24"/>
              </w:rPr>
              <w:t>Красненском</w:t>
            </w:r>
            <w:proofErr w:type="spellEnd"/>
            <w:r w:rsidR="00A74FB7" w:rsidRPr="00A74FB7">
              <w:rPr>
                <w:rFonts w:eastAsia="Cambria" w:cs="Times New Roman"/>
                <w:sz w:val="24"/>
                <w:szCs w:val="24"/>
              </w:rPr>
              <w:t xml:space="preserve"> районе»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C60783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>
              <w:rPr>
                <w:rFonts w:eastAsia="Cambria" w:cs="Times New Roman"/>
                <w:sz w:val="24"/>
                <w:szCs w:val="24"/>
              </w:rPr>
              <w:t>, ул. Подгорная 3</w:t>
            </w:r>
            <w:r w:rsidRPr="008B3E04">
              <w:rPr>
                <w:rFonts w:eastAsia="Cambria" w:cs="Times New Roman"/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  <w:lang w:val="en-US"/>
              </w:rPr>
              <w:t>oszn</w:t>
            </w:r>
            <w:proofErr w:type="spellEnd"/>
            <w:r w:rsidR="00C60783" w:rsidRPr="00C60783">
              <w:rPr>
                <w:rFonts w:eastAsia="Cambria" w:cs="Times New Roman"/>
                <w:sz w:val="24"/>
                <w:szCs w:val="24"/>
              </w:rPr>
              <w:t>@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C60783" w:rsidRPr="00C60783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C60783">
              <w:rPr>
                <w:rFonts w:eastAsia="Cambria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ru</w:t>
            </w:r>
            <w:proofErr w:type="spellEnd"/>
          </w:p>
          <w:p w:rsidR="008B3E04" w:rsidRPr="008B3E04" w:rsidRDefault="008B3E04" w:rsidP="00A74F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Сроки приема замечаний и предложений</w:t>
            </w:r>
            <w:r w:rsidR="00120467" w:rsidRPr="00120467">
              <w:rPr>
                <w:rFonts w:eastAsia="Cambria" w:cs="Times New Roman"/>
                <w:sz w:val="24"/>
                <w:szCs w:val="24"/>
              </w:rPr>
              <w:t>:</w:t>
            </w:r>
            <w:r w:rsidRPr="002E2A47">
              <w:rPr>
                <w:rFonts w:eastAsia="Cambria" w:cs="Times New Roman"/>
                <w:color w:val="FF0000"/>
                <w:sz w:val="24"/>
                <w:szCs w:val="24"/>
              </w:rPr>
              <w:t xml:space="preserve"> </w:t>
            </w:r>
            <w:r w:rsidR="00435BD9">
              <w:rPr>
                <w:rFonts w:eastAsia="Calibri" w:cs="Times New Roman"/>
                <w:sz w:val="24"/>
                <w:szCs w:val="24"/>
              </w:rPr>
              <w:t>с 21.01.2025</w:t>
            </w:r>
            <w:bookmarkStart w:id="0" w:name="_GoBack"/>
            <w:bookmarkEnd w:id="0"/>
            <w:r w:rsidR="00435BD9">
              <w:rPr>
                <w:rFonts w:eastAsia="Calibri" w:cs="Times New Roman"/>
                <w:sz w:val="24"/>
                <w:szCs w:val="24"/>
              </w:rPr>
              <w:t xml:space="preserve"> года по 03.02.2025</w:t>
            </w:r>
            <w:r w:rsidR="00FE6CF0" w:rsidRPr="00120467">
              <w:rPr>
                <w:rFonts w:eastAsia="Calibri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318AC"/>
    <w:rsid w:val="000710DE"/>
    <w:rsid w:val="0007555C"/>
    <w:rsid w:val="000A5A32"/>
    <w:rsid w:val="00120467"/>
    <w:rsid w:val="001C0632"/>
    <w:rsid w:val="00256E78"/>
    <w:rsid w:val="002E2A47"/>
    <w:rsid w:val="003E580E"/>
    <w:rsid w:val="00435BD9"/>
    <w:rsid w:val="004D70D1"/>
    <w:rsid w:val="00521C19"/>
    <w:rsid w:val="00552664"/>
    <w:rsid w:val="005A784F"/>
    <w:rsid w:val="005F59FD"/>
    <w:rsid w:val="006014C3"/>
    <w:rsid w:val="00667EAA"/>
    <w:rsid w:val="006D6054"/>
    <w:rsid w:val="00727FF5"/>
    <w:rsid w:val="007444DA"/>
    <w:rsid w:val="007D554A"/>
    <w:rsid w:val="008B3E04"/>
    <w:rsid w:val="00A74FB7"/>
    <w:rsid w:val="00B825C4"/>
    <w:rsid w:val="00B85F07"/>
    <w:rsid w:val="00C60783"/>
    <w:rsid w:val="00CF0107"/>
    <w:rsid w:val="00D0207F"/>
    <w:rsid w:val="00D1707B"/>
    <w:rsid w:val="00DF79BC"/>
    <w:rsid w:val="00E03C92"/>
    <w:rsid w:val="00EA5CE9"/>
    <w:rsid w:val="00FE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036E0-698F-48B7-B80E-6A77A0EA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пользователь</cp:lastModifiedBy>
  <cp:revision>29</cp:revision>
  <dcterms:created xsi:type="dcterms:W3CDTF">2019-11-19T06:32:00Z</dcterms:created>
  <dcterms:modified xsi:type="dcterms:W3CDTF">2025-01-20T14:19:00Z</dcterms:modified>
</cp:coreProperties>
</file>