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pacing w:val="-5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b/>
          <w:color w:val="000000" w:themeColor="text1"/>
          <w:spacing w:val="-5"/>
          <w:sz w:val="28"/>
          <w:szCs w:val="28"/>
          <w:highlight w:val="none"/>
        </w:rPr>
        <w:t xml:space="preserve">ащита  прав потребителей при использовании каршеринга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настоящее время большую популярность приобрел современный, удобный способ передвижения в мегаполисе - каршеринг. Востребованность такой услуги связана как правило с тем, что многие граждане, имея водительские права не имеют своего автомобиля, при заключе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нии договора нет необходимости посещения офиса арендодателя, арендованный автомобиль всегда в шаговой доступности, аренда автомобиля доступна в любое время дня и ночи, оставление автомобиля возможно почти в любом месте, нет трат на техническое обслуживание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автомобиля.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Каршеринг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вид краткосрочного пользования автомобилем, когда одна из сторон не является его собственником. Это вариант аренды автомобиля у профильных компаний – юридических лиц или индивидуальных предпринимателей чаще всего для внутригородских и/или коротких поездо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  <w:t xml:space="preserve">Организация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предоставляющая услуги каршеринга (далее - арендодатель, исполнитель)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  <w:t xml:space="preserve">обязана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зарегистрировать Транспортные средства, предоставляемые исполнителем в аренду, в установленном законом порядке;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иметь подтверждение соответствия технического состояния требованиям нормативных документов; заключить договоры ОСАГО в отношении передаваемых исполнителем в аренду транспортных средств.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Так как договор аренды (каршеринга) заключается между организацией (ИП или юридическое лицо) и потребителем – физическим лицом, использующим автомобиль для личных нужд, не связанных с извлечением прибыли, потребитель обладает всеми правами, предусмотренным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действующим законодательством о защите прав потребителей.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Исполнитель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(арендодатель)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обязан довести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до сведения потребителя (арендатора) информацию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 о себе и предоставляемых услугах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которая в обязательном порядке должна содержать: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наименование организации, место нахождения (юридический адрес) и режим работы; для ИП: ФИО, адрес места осуществления деятельности, режим работы, сведения о государственной регистрации и наименовании зарегистрировавшего его органа;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сведения об основных потребительских свойствах услуги – в частности, 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 трансмис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сия, пробег автомобиля, имеющиеся и ранее устраненные недостатки);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цены на оказываемые услуги;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сроки оказания услуг;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осмотра, технического обслуж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ивания;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правила и условия эффективного и безопасного использования услуг,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дополнительные услуги и их стоимость – например, предоставление детского удерживающего устройства.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Договор аренды транспортного средства без экипажа должен быть заключен в письменной форме (ст. 643 Гражданского кодекса РФ).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В договоре указывается следующая информация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 аренды);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срок аренды, а если срок аренды в договоре не определен, договор аренды считается заключенным на неопределенный срок;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нспортному средству);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лицо, которому предоставлено право управления, реквизиты доверенности на право управления;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обязанность арендатора по содержанию транспортного средства;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размер, сроки и порядок внесения арендной платы;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наличие или отсутствие залога;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ответственность сторон;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основания и порядок расторжения договора;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адреса, реквизиты сторон.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Имущество сдается в аренду вместе со всеми его принадлежностями и относящимися к нему документами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В целях соблюдения Правил дорожного движения и обеспечения безопасности дорожного движения арендодатель должен передать потребителю обязательные документы и принадлежности на автомобиль: регистрационные документы (паспорт транспортного средства или свиде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тельство о государственной регистрации транспортного средства);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 медицинскую аптечку; огнетушитель.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ВАЖНО! 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заключении договора в процессе регистрации потребителю необходимо внимательно изучить условия договора, особенно изучить раздел «ответственность сторон», изучить возможные ситуации, события, за которые предусмотрены штрафные санкции (например, за пере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дачу транспортного средства другому лицу (родственнику, супругу), не зарегистрированному в приложении).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ВНИМАНИЕ!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 Перед посадкой в автомобиль и началом его эксплуатации необходимо вниматель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но осмотреть автомобиль на предмет наличия царапин на кузове, грязи в салоне и т. д. Также следует внимательно осмотреть содержимое бардачка и багажника. В случае обнаружения повреждений автомобиля, либо чужих вещей в салоне, необходимо тут же уведомить об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этом арендодателя.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НЕОБХОДИМО ЗНАТЬ!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случае дозаправки автомобиля Вашими силами, необходимо в последующем предоставить арендодателю (исполнителю услуг) чеки, подтверждающие Ваши расходы. Вы имеете право на компенсацию данных расходов.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Если в момент заключения или исполнения договора потребителю не предоставлена достоверная информация о транспортном средстве, услуге, он вправе потребовать от исполнителя возмещения убытков, или в </w:t>
      </w:r>
      <w:hyperlink r:id="rId9" w:tooltip="consultantplus://offline/ref=2E923CCAD5895F56D162C395E89CC9F2A753EE7AEF5EF205A4765DAE1FF0EDDCC494A718499773B0F74905A783B0A78FD142535857A3F1A5jEoBJ" w:history="1">
        <w:r>
          <w:rPr>
            <w:rStyle w:val="812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разумный срок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отказаться от исполнения договора и потребовать возврата уплаченной за услугу суммы.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Изначально, для разрешения спора потребителю услуг необходимо обратиться к исполнителю с письменной претензией, в которой следует изложить свои требования. Вручить претензию необходимо в двух экземплярах лично исполнителю, либо направить ее по почте России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на юридический адрес исполнителя заказным письмом с уведомлением о вручении и описью вложения. </w:t>
        <w:tab/>
        <w:t xml:space="preserve">В случае невозможности разрешения спора с исполнителем в досудебном порядке, потребитель имеет право обратиться в суд (часть 1 статьи 11 ГК РФ).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случае нарушения исполнителем прав потребителя услуг каршеринга, потребитель может обратиться с письменной жалобой в соответствующие надзорные органы: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Федеральная служба по надзору в сфере транспорта и ее территориальные органы (надзор за нарушениями в области транспортной безопасности);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Управление Роспотребнадзора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(недоведение достоверной информации об услуге.);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Федеральная налоговая служба и ее территориальные органы (непредоставление квитанции (чека) об оплате пассажиру).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  <w:color w:val="606060"/>
        <w:sz w:val="24"/>
      </w:rPr>
    </w:lvl>
    <w:lvl w:ilvl="1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hint="default" w:ascii="Wingdings" w:hAnsi="Wingdings" w:eastAsia="Wingdings" w:cs="Wingdings"/>
        <w:color w:val="606060"/>
        <w:sz w:val="24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  <w:color w:val="606060"/>
        <w:sz w:val="24"/>
      </w:rPr>
    </w:lvl>
    <w:lvl w:ilvl="3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  <w:color w:val="606060"/>
        <w:sz w:val="24"/>
      </w:rPr>
    </w:lvl>
    <w:lvl w:ilvl="4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  <w:color w:val="606060"/>
        <w:sz w:val="24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  <w:color w:val="606060"/>
        <w:sz w:val="24"/>
      </w:rPr>
    </w:lvl>
    <w:lvl w:ilvl="6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  <w:color w:val="606060"/>
        <w:sz w:val="24"/>
      </w:rPr>
    </w:lvl>
    <w:lvl w:ilvl="7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  <w:color w:val="606060"/>
        <w:sz w:val="24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  <w:color w:val="60606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  <w:color w:val="606060"/>
        <w:sz w:val="24"/>
      </w:rPr>
    </w:lvl>
    <w:lvl w:ilvl="1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hint="default" w:ascii="Wingdings" w:hAnsi="Wingdings" w:eastAsia="Wingdings" w:cs="Wingdings"/>
        <w:color w:val="606060"/>
        <w:sz w:val="24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  <w:color w:val="606060"/>
        <w:sz w:val="24"/>
      </w:rPr>
    </w:lvl>
    <w:lvl w:ilvl="3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  <w:color w:val="606060"/>
        <w:sz w:val="24"/>
      </w:rPr>
    </w:lvl>
    <w:lvl w:ilvl="4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  <w:color w:val="606060"/>
        <w:sz w:val="24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  <w:color w:val="606060"/>
        <w:sz w:val="24"/>
      </w:rPr>
    </w:lvl>
    <w:lvl w:ilvl="6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  <w:color w:val="606060"/>
        <w:sz w:val="24"/>
      </w:rPr>
    </w:lvl>
    <w:lvl w:ilvl="7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  <w:color w:val="606060"/>
        <w:sz w:val="24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  <w:color w:val="60606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2E923CCAD5895F56D162C395E89CC9F2A753EE7AEF5EF205A4765DAE1FF0EDDCC494A718499773B0F74905A783B0A78FD142535857A3F1A5jEoB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2</cp:revision>
  <dcterms:modified xsi:type="dcterms:W3CDTF">2024-12-23T08:25:16Z</dcterms:modified>
</cp:coreProperties>
</file>