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C61" w:rsidRDefault="00453BBA">
      <w:pPr>
        <w:pStyle w:val="ConsPlusNonformat"/>
        <w:jc w:val="center"/>
        <w:rPr>
          <w:rFonts w:ascii="PT Astra Serif" w:hAnsi="PT Astra Serif" w:cs="PT Astra Serif"/>
          <w:b/>
          <w:sz w:val="24"/>
          <w:szCs w:val="24"/>
        </w:rPr>
      </w:pPr>
      <w:r>
        <w:rPr>
          <w:rFonts w:ascii="PT Astra Serif" w:eastAsia="PT Astra Serif" w:hAnsi="PT Astra Serif" w:cs="PT Astra Serif"/>
          <w:b/>
          <w:sz w:val="24"/>
          <w:szCs w:val="24"/>
        </w:rPr>
        <w:t xml:space="preserve">Уведомление о проведении экспертизы предлагаемого правового регулирования </w:t>
      </w:r>
    </w:p>
    <w:p w:rsidR="00C42C61" w:rsidRDefault="00453BBA">
      <w:pPr>
        <w:pStyle w:val="ConsPlusNonformat"/>
        <w:spacing w:before="240"/>
        <w:ind w:firstLine="708"/>
        <w:jc w:val="both"/>
        <w:rPr>
          <w:rFonts w:ascii="PT Astra Serif" w:hAnsi="PT Astra Serif" w:cs="PT Astra Serif"/>
          <w:sz w:val="24"/>
          <w:szCs w:val="24"/>
        </w:rPr>
      </w:pPr>
      <w:proofErr w:type="gramStart"/>
      <w:r>
        <w:rPr>
          <w:rFonts w:ascii="PT Astra Serif" w:eastAsia="PT Astra Serif" w:hAnsi="PT Astra Serif" w:cs="PT Astra Serif"/>
          <w:sz w:val="24"/>
          <w:szCs w:val="24"/>
        </w:rPr>
        <w:t xml:space="preserve">Настоящим отдел планирования, экономического анализа хозяйственной деятельности предприятий района и охраны  труда управления экономического развития и муниципальной собственности </w:t>
      </w:r>
      <w:r>
        <w:rPr>
          <w:rFonts w:ascii="PT Astra Serif" w:eastAsia="PT Astra Serif" w:hAnsi="PT Astra Serif" w:cs="PT Astra Serif"/>
          <w:sz w:val="24"/>
          <w:szCs w:val="24"/>
        </w:rPr>
        <w:t xml:space="preserve">администрации </w:t>
      </w:r>
      <w:proofErr w:type="spellStart"/>
      <w:r>
        <w:rPr>
          <w:rFonts w:ascii="PT Astra Serif" w:eastAsia="PT Astra Serif" w:hAnsi="PT Astra Serif" w:cs="PT Astra Serif"/>
          <w:sz w:val="24"/>
          <w:szCs w:val="24"/>
        </w:rPr>
        <w:t>Красненского</w:t>
      </w:r>
      <w:proofErr w:type="spellEnd"/>
      <w:r>
        <w:rPr>
          <w:rFonts w:ascii="PT Astra Serif" w:eastAsia="PT Astra Serif" w:hAnsi="PT Astra Serif" w:cs="PT Astra Serif"/>
          <w:sz w:val="24"/>
          <w:szCs w:val="24"/>
        </w:rPr>
        <w:t xml:space="preserve"> района извещает  о  начале  обсуждения предлагаемого правового регулирования и сборе предложений заинтересованных лиц в отношении постановления администрации </w:t>
      </w:r>
      <w:proofErr w:type="spellStart"/>
      <w:r>
        <w:rPr>
          <w:rFonts w:ascii="PT Astra Serif" w:eastAsia="PT Astra Serif" w:hAnsi="PT Astra Serif" w:cs="PT Astra Serif"/>
          <w:sz w:val="24"/>
          <w:szCs w:val="24"/>
        </w:rPr>
        <w:t>Красненского</w:t>
      </w:r>
      <w:proofErr w:type="spellEnd"/>
      <w:r>
        <w:rPr>
          <w:rFonts w:ascii="PT Astra Serif" w:eastAsia="PT Astra Serif" w:hAnsi="PT Astra Serif" w:cs="PT Astra Serif"/>
          <w:sz w:val="24"/>
          <w:szCs w:val="24"/>
        </w:rPr>
        <w:t xml:space="preserve"> района от 25 января 2017 г. № 24 «Об утверждении порядка р</w:t>
      </w:r>
      <w:r>
        <w:rPr>
          <w:rFonts w:ascii="PT Astra Serif" w:eastAsia="PT Astra Serif" w:hAnsi="PT Astra Serif" w:cs="PT Astra Serif"/>
          <w:sz w:val="24"/>
          <w:szCs w:val="24"/>
        </w:rPr>
        <w:t xml:space="preserve">азмещения объектов нестационарной торговли  на территории </w:t>
      </w:r>
      <w:proofErr w:type="spellStart"/>
      <w:r>
        <w:rPr>
          <w:rFonts w:ascii="PT Astra Serif" w:eastAsia="PT Astra Serif" w:hAnsi="PT Astra Serif" w:cs="PT Astra Serif"/>
          <w:sz w:val="24"/>
          <w:szCs w:val="24"/>
        </w:rPr>
        <w:t>Красненского</w:t>
      </w:r>
      <w:proofErr w:type="spellEnd"/>
      <w:r>
        <w:rPr>
          <w:rFonts w:ascii="PT Astra Serif" w:eastAsia="PT Astra Serif" w:hAnsi="PT Astra Serif" w:cs="PT Astra Serif"/>
          <w:sz w:val="24"/>
          <w:szCs w:val="24"/>
        </w:rPr>
        <w:t xml:space="preserve"> района» (далее - НПА). </w:t>
      </w:r>
      <w:proofErr w:type="gramEnd"/>
    </w:p>
    <w:p w:rsidR="00C42C61" w:rsidRDefault="00453BBA">
      <w:pPr>
        <w:rPr>
          <w:rFonts w:ascii="PT Astra Serif" w:hAnsi="PT Astra Serif" w:cs="PT Astra Serif"/>
          <w:sz w:val="24"/>
          <w:szCs w:val="24"/>
        </w:rPr>
      </w:pPr>
      <w:r>
        <w:rPr>
          <w:rFonts w:ascii="PT Astra Serif" w:eastAsia="PT Astra Serif" w:hAnsi="PT Astra Serif" w:cs="PT Astra Serif"/>
          <w:sz w:val="24"/>
          <w:szCs w:val="24"/>
        </w:rPr>
        <w:t xml:space="preserve">         </w:t>
      </w:r>
      <w:r>
        <w:rPr>
          <w:rFonts w:ascii="PT Astra Serif" w:eastAsia="PT Astra Serif" w:hAnsi="PT Astra Serif" w:cs="PT Astra Serif"/>
          <w:sz w:val="24"/>
          <w:szCs w:val="24"/>
        </w:rPr>
        <w:tab/>
        <w:t xml:space="preserve">Предложения принимаются по адресу: с. </w:t>
      </w:r>
      <w:proofErr w:type="gramStart"/>
      <w:r>
        <w:rPr>
          <w:rFonts w:ascii="PT Astra Serif" w:eastAsia="PT Astra Serif" w:hAnsi="PT Astra Serif" w:cs="PT Astra Serif"/>
          <w:sz w:val="24"/>
          <w:szCs w:val="24"/>
        </w:rPr>
        <w:t>Красное</w:t>
      </w:r>
      <w:proofErr w:type="gramEnd"/>
      <w:r>
        <w:rPr>
          <w:rFonts w:ascii="PT Astra Serif" w:eastAsia="PT Astra Serif" w:hAnsi="PT Astra Serif" w:cs="PT Astra Serif"/>
          <w:sz w:val="24"/>
          <w:szCs w:val="24"/>
        </w:rPr>
        <w:t xml:space="preserve">, ул. Подгорная, 4, кабинет № 15, а также по адресу электронной </w:t>
      </w:r>
      <w:proofErr w:type="spellStart"/>
      <w:r>
        <w:rPr>
          <w:rFonts w:ascii="PT Astra Serif" w:eastAsia="PT Astra Serif" w:hAnsi="PT Astra Serif" w:cs="PT Astra Serif"/>
          <w:sz w:val="24"/>
          <w:szCs w:val="24"/>
        </w:rPr>
        <w:t>почты:ekonom@kr.belregion.ru</w:t>
      </w:r>
      <w:proofErr w:type="spellEnd"/>
    </w:p>
    <w:p w:rsidR="00C42C61" w:rsidRDefault="00453BBA">
      <w:pPr>
        <w:rPr>
          <w:rFonts w:ascii="PT Astra Serif" w:hAnsi="PT Astra Serif" w:cs="PT Astra Serif"/>
          <w:sz w:val="24"/>
          <w:szCs w:val="24"/>
        </w:rPr>
      </w:pPr>
      <w:r>
        <w:rPr>
          <w:rFonts w:ascii="PT Astra Serif" w:eastAsia="PT Astra Serif" w:hAnsi="PT Astra Serif" w:cs="PT Astra Serif"/>
          <w:sz w:val="24"/>
          <w:szCs w:val="24"/>
        </w:rPr>
        <w:t xml:space="preserve">             </w:t>
      </w:r>
      <w:r>
        <w:rPr>
          <w:rFonts w:ascii="PT Astra Serif" w:eastAsia="PT Astra Serif" w:hAnsi="PT Astra Serif" w:cs="PT Astra Serif"/>
          <w:sz w:val="24"/>
          <w:szCs w:val="24"/>
        </w:rPr>
        <w:t xml:space="preserve">Сроки приема предложений: </w:t>
      </w:r>
      <w:r>
        <w:rPr>
          <w:rFonts w:ascii="PT Astra Serif" w:eastAsia="PT Astra Serif" w:hAnsi="PT Astra Serif" w:cs="PT Astra Serif"/>
          <w:b/>
          <w:sz w:val="24"/>
          <w:szCs w:val="24"/>
        </w:rPr>
        <w:t>с 16.07.2024 г. по 05.08.2024 г.</w:t>
      </w:r>
    </w:p>
    <w:p w:rsidR="00C42C61" w:rsidRDefault="00453BBA">
      <w:pPr>
        <w:pStyle w:val="ConsPlusNonformat"/>
        <w:spacing w:before="240" w:after="240"/>
        <w:ind w:firstLine="708"/>
        <w:jc w:val="both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eastAsia="PT Astra Serif" w:hAnsi="PT Astra Serif" w:cs="PT Astra Serif"/>
          <w:sz w:val="24"/>
          <w:szCs w:val="24"/>
        </w:rPr>
        <w:t xml:space="preserve">Место   размещения   уведомления и нормативного правового  акта в информационно-телекоммуникационной сети Интернет: </w:t>
      </w:r>
      <w:hyperlink r:id="rId9" w:tooltip="https://kraadm.gosuslugi.ru/ofitsialno/otsenka-reguliruyuschego-vozdeystviya/ekspertiza-deystvuyuschih-normativnyh-pravovyh-aktov/" w:history="1">
        <w:r>
          <w:rPr>
            <w:rStyle w:val="af9"/>
            <w:rFonts w:ascii="PT Astra Serif" w:eastAsia="PT Astra Serif" w:hAnsi="PT Astra Serif" w:cs="PT Astra Serif"/>
            <w:sz w:val="24"/>
            <w:szCs w:val="24"/>
          </w:rPr>
          <w:t>https://kraadm.gosuslugi.ru/ofitsialno/otsenka-regulir</w:t>
        </w:r>
        <w:r>
          <w:rPr>
            <w:rStyle w:val="af9"/>
            <w:rFonts w:ascii="PT Astra Serif" w:eastAsia="PT Astra Serif" w:hAnsi="PT Astra Serif" w:cs="PT Astra Serif"/>
            <w:sz w:val="24"/>
            <w:szCs w:val="24"/>
          </w:rPr>
          <w:t>uyuschego-vozdeystviya/ekspertiza-deystvuyuschih-normativnyh-pravovyh-aktov/</w:t>
        </w:r>
      </w:hyperlink>
      <w:r>
        <w:rPr>
          <w:rFonts w:ascii="PT Astra Serif" w:eastAsia="PT Astra Serif" w:hAnsi="PT Astra Serif" w:cs="PT Astra Serif"/>
          <w:sz w:val="24"/>
          <w:szCs w:val="24"/>
        </w:rPr>
        <w:t xml:space="preserve"> </w:t>
      </w:r>
    </w:p>
    <w:p w:rsidR="00C42C61" w:rsidRDefault="00453BBA">
      <w:pPr>
        <w:pStyle w:val="ConsPlusNonformat"/>
        <w:spacing w:before="240" w:after="240"/>
        <w:ind w:firstLine="708"/>
        <w:jc w:val="both"/>
        <w:rPr>
          <w:rFonts w:ascii="PT Astra Serif" w:hAnsi="PT Astra Serif" w:cs="PT Astra Serif"/>
          <w:sz w:val="24"/>
          <w:szCs w:val="24"/>
          <w:highlight w:val="yellow"/>
        </w:rPr>
      </w:pPr>
      <w:r>
        <w:rPr>
          <w:rFonts w:ascii="PT Astra Serif" w:eastAsia="PT Astra Serif" w:hAnsi="PT Astra Serif" w:cs="PT Astra Serif"/>
          <w:sz w:val="24"/>
          <w:szCs w:val="24"/>
        </w:rPr>
        <w:t xml:space="preserve">Все поступившие предложения будут рассмотрены. Сводка предложений будет размещена на сайте </w:t>
      </w:r>
      <w:proofErr w:type="spellStart"/>
      <w:r>
        <w:rPr>
          <w:rFonts w:ascii="PT Astra Serif" w:eastAsia="PT Astra Serif" w:hAnsi="PT Astra Serif" w:cs="PT Astra Serif"/>
          <w:sz w:val="24"/>
          <w:szCs w:val="24"/>
        </w:rPr>
        <w:t>адмиистрации</w:t>
      </w:r>
      <w:proofErr w:type="spellEnd"/>
      <w:r>
        <w:rPr>
          <w:rFonts w:ascii="PT Astra Serif" w:eastAsia="PT Astra Serif" w:hAnsi="PT Astra Serif" w:cs="PT Astra Serif"/>
          <w:sz w:val="24"/>
          <w:szCs w:val="24"/>
        </w:rPr>
        <w:t xml:space="preserve"> </w:t>
      </w:r>
      <w:proofErr w:type="spellStart"/>
      <w:r>
        <w:rPr>
          <w:rFonts w:ascii="PT Astra Serif" w:eastAsia="PT Astra Serif" w:hAnsi="PT Astra Serif" w:cs="PT Astra Serif"/>
          <w:sz w:val="24"/>
          <w:szCs w:val="24"/>
        </w:rPr>
        <w:t>Красненского</w:t>
      </w:r>
      <w:proofErr w:type="spellEnd"/>
      <w:r>
        <w:rPr>
          <w:rFonts w:ascii="PT Astra Serif" w:eastAsia="PT Astra Serif" w:hAnsi="PT Astra Serif" w:cs="PT Astra Serif"/>
          <w:sz w:val="24"/>
          <w:szCs w:val="24"/>
        </w:rPr>
        <w:t xml:space="preserve"> района: </w:t>
      </w:r>
      <w:hyperlink r:id="rId10" w:tooltip="https://kraadm.gosuslugi.ru/ofitsialno/otsenka-reguliruyuschego-vozdeystviya/ekspertiza-deystvuyuschih-normativnyh-pravovyh-aktov/" w:history="1">
        <w:r>
          <w:rPr>
            <w:rStyle w:val="af9"/>
            <w:rFonts w:ascii="PT Astra Serif" w:eastAsia="PT Astra Serif" w:hAnsi="PT Astra Serif" w:cs="PT Astra Serif"/>
            <w:sz w:val="24"/>
            <w:szCs w:val="24"/>
          </w:rPr>
          <w:t>https://kraadm.gosuslugi.r</w:t>
        </w:r>
        <w:r>
          <w:rPr>
            <w:rStyle w:val="af9"/>
            <w:rFonts w:ascii="PT Astra Serif" w:eastAsia="PT Astra Serif" w:hAnsi="PT Astra Serif" w:cs="PT Astra Serif"/>
            <w:sz w:val="24"/>
            <w:szCs w:val="24"/>
          </w:rPr>
          <w:t>u/ofitsialno/otsenka-reguliruyuschego-vozdeystviya/ekspertiza-deystvuyuschih-normativnyh-pravovyh-aktov/</w:t>
        </w:r>
      </w:hyperlink>
      <w:r>
        <w:rPr>
          <w:rFonts w:ascii="PT Astra Serif" w:eastAsia="PT Astra Serif" w:hAnsi="PT Astra Serif" w:cs="PT Astra Serif"/>
          <w:sz w:val="24"/>
          <w:szCs w:val="24"/>
        </w:rPr>
        <w:t xml:space="preserve"> не позднее </w:t>
      </w:r>
      <w:r>
        <w:rPr>
          <w:rFonts w:ascii="PT Astra Serif" w:eastAsia="PT Astra Serif" w:hAnsi="PT Astra Serif" w:cs="PT Astra Serif"/>
          <w:b/>
          <w:sz w:val="24"/>
          <w:szCs w:val="24"/>
        </w:rPr>
        <w:t>12.08.2024 г.</w:t>
      </w:r>
    </w:p>
    <w:p w:rsidR="00C42C61" w:rsidRDefault="00453BBA">
      <w:pPr>
        <w:pStyle w:val="ConsPlusNonformat"/>
        <w:jc w:val="both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eastAsia="PT Astra Serif" w:hAnsi="PT Astra Serif" w:cs="PT Astra Serif"/>
          <w:sz w:val="24"/>
          <w:szCs w:val="24"/>
        </w:rPr>
        <w:t xml:space="preserve"> </w:t>
      </w:r>
      <w:r>
        <w:rPr>
          <w:rFonts w:ascii="PT Astra Serif" w:eastAsia="PT Astra Serif" w:hAnsi="PT Astra Serif" w:cs="PT Astra Serif"/>
          <w:sz w:val="24"/>
          <w:szCs w:val="24"/>
        </w:rPr>
        <w:tab/>
        <w:t>1 .  Вид  и  рабочее  наименование  нормативного правового акта, который</w:t>
      </w:r>
    </w:p>
    <w:p w:rsidR="00C42C61" w:rsidRDefault="00453BBA">
      <w:pPr>
        <w:pStyle w:val="ConsPlusNonformat"/>
        <w:jc w:val="both"/>
        <w:rPr>
          <w:rFonts w:ascii="PT Astra Serif" w:hAnsi="PT Astra Serif" w:cs="PT Astra Serif"/>
          <w:b/>
          <w:bCs/>
          <w:sz w:val="24"/>
          <w:szCs w:val="24"/>
        </w:rPr>
      </w:pPr>
      <w:r>
        <w:rPr>
          <w:rFonts w:ascii="PT Astra Serif" w:eastAsia="PT Astra Serif" w:hAnsi="PT Astra Serif" w:cs="PT Astra Serif"/>
          <w:sz w:val="24"/>
          <w:szCs w:val="24"/>
        </w:rPr>
        <w:t xml:space="preserve">будет   принят,   в   случае  принятия  решения  о </w:t>
      </w:r>
      <w:r>
        <w:rPr>
          <w:rFonts w:ascii="PT Astra Serif" w:eastAsia="PT Astra Serif" w:hAnsi="PT Astra Serif" w:cs="PT Astra Serif"/>
          <w:sz w:val="24"/>
          <w:szCs w:val="24"/>
        </w:rPr>
        <w:t xml:space="preserve"> необходимости  введения предлагаемого правового регулирования: </w:t>
      </w:r>
      <w:r>
        <w:rPr>
          <w:rFonts w:ascii="PT Astra Serif" w:eastAsia="PT Astra Serif" w:hAnsi="PT Astra Serif" w:cs="PT Astra Serif"/>
          <w:b/>
          <w:bCs/>
          <w:sz w:val="24"/>
          <w:szCs w:val="24"/>
        </w:rPr>
        <w:t xml:space="preserve">постановление администрации </w:t>
      </w:r>
      <w:proofErr w:type="spellStart"/>
      <w:r>
        <w:rPr>
          <w:rFonts w:ascii="PT Astra Serif" w:eastAsia="PT Astra Serif" w:hAnsi="PT Astra Serif" w:cs="PT Astra Serif"/>
          <w:b/>
          <w:bCs/>
          <w:sz w:val="24"/>
          <w:szCs w:val="24"/>
        </w:rPr>
        <w:t>Красненского</w:t>
      </w:r>
      <w:proofErr w:type="spellEnd"/>
      <w:r>
        <w:rPr>
          <w:rFonts w:ascii="PT Astra Serif" w:eastAsia="PT Astra Serif" w:hAnsi="PT Astra Serif" w:cs="PT Astra Serif"/>
          <w:b/>
          <w:bCs/>
          <w:sz w:val="24"/>
          <w:szCs w:val="24"/>
        </w:rPr>
        <w:t xml:space="preserve"> района  «Об утверждении порядка размещения объектов нестационарной торговли  на территории </w:t>
      </w:r>
      <w:proofErr w:type="spellStart"/>
      <w:r>
        <w:rPr>
          <w:rFonts w:ascii="PT Astra Serif" w:eastAsia="PT Astra Serif" w:hAnsi="PT Astra Serif" w:cs="PT Astra Serif"/>
          <w:b/>
          <w:bCs/>
          <w:sz w:val="24"/>
          <w:szCs w:val="24"/>
        </w:rPr>
        <w:t>Красненского</w:t>
      </w:r>
      <w:proofErr w:type="spellEnd"/>
      <w:r>
        <w:rPr>
          <w:rFonts w:ascii="PT Astra Serif" w:eastAsia="PT Astra Serif" w:hAnsi="PT Astra Serif" w:cs="PT Astra Serif"/>
          <w:b/>
          <w:bCs/>
          <w:sz w:val="24"/>
          <w:szCs w:val="24"/>
        </w:rPr>
        <w:t xml:space="preserve"> района».</w:t>
      </w:r>
    </w:p>
    <w:p w:rsidR="00C42C61" w:rsidRDefault="00453BBA">
      <w:pPr>
        <w:pStyle w:val="ConsPlusNonformat"/>
        <w:spacing w:before="240" w:after="240"/>
        <w:ind w:firstLine="708"/>
        <w:jc w:val="both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eastAsia="PT Astra Serif" w:hAnsi="PT Astra Serif" w:cs="PT Astra Serif"/>
          <w:sz w:val="24"/>
          <w:szCs w:val="24"/>
        </w:rPr>
        <w:t>2. Описание  проблемы, на решение кото</w:t>
      </w:r>
      <w:r>
        <w:rPr>
          <w:rFonts w:ascii="PT Astra Serif" w:eastAsia="PT Astra Serif" w:hAnsi="PT Astra Serif" w:cs="PT Astra Serif"/>
          <w:sz w:val="24"/>
          <w:szCs w:val="24"/>
        </w:rPr>
        <w:t xml:space="preserve">рой направлено предлагаемое правовое регулирование: </w:t>
      </w:r>
      <w:r>
        <w:rPr>
          <w:rFonts w:ascii="PT Astra Serif" w:eastAsia="PT Astra Serif" w:hAnsi="PT Astra Serif" w:cs="PT Astra Serif"/>
          <w:b/>
          <w:sz w:val="24"/>
          <w:szCs w:val="24"/>
        </w:rPr>
        <w:t xml:space="preserve">наличие излишних административных процедур при заключении договора на право размещения нестационарного торгового объекта, невозможность заключения договоров с </w:t>
      </w:r>
      <w:proofErr w:type="spellStart"/>
      <w:r>
        <w:rPr>
          <w:rFonts w:ascii="PT Astra Serif" w:eastAsia="PT Astra Serif" w:hAnsi="PT Astra Serif" w:cs="PT Astra Serif"/>
          <w:b/>
          <w:sz w:val="24"/>
          <w:szCs w:val="24"/>
        </w:rPr>
        <w:t>самозанятыми</w:t>
      </w:r>
      <w:proofErr w:type="spellEnd"/>
      <w:r>
        <w:rPr>
          <w:rFonts w:ascii="PT Astra Serif" w:eastAsia="PT Astra Serif" w:hAnsi="PT Astra Serif" w:cs="PT Astra Serif"/>
          <w:b/>
          <w:sz w:val="24"/>
          <w:szCs w:val="24"/>
        </w:rPr>
        <w:t xml:space="preserve"> гражданами. </w:t>
      </w:r>
    </w:p>
    <w:p w:rsidR="00C42C61" w:rsidRDefault="00453BBA">
      <w:pPr>
        <w:pStyle w:val="ConsPlusNonformat"/>
        <w:ind w:firstLine="708"/>
        <w:jc w:val="both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eastAsia="PT Astra Serif" w:hAnsi="PT Astra Serif" w:cs="PT Astra Serif"/>
          <w:sz w:val="24"/>
          <w:szCs w:val="24"/>
        </w:rPr>
        <w:t>3. Цели предлагаемо</w:t>
      </w:r>
      <w:r>
        <w:rPr>
          <w:rFonts w:ascii="PT Astra Serif" w:eastAsia="PT Astra Serif" w:hAnsi="PT Astra Serif" w:cs="PT Astra Serif"/>
          <w:sz w:val="24"/>
          <w:szCs w:val="24"/>
        </w:rPr>
        <w:t>го правового регулирования:</w:t>
      </w:r>
    </w:p>
    <w:p w:rsidR="00C42C61" w:rsidRDefault="00453BBA">
      <w:pPr>
        <w:pStyle w:val="afa"/>
        <w:spacing w:before="0" w:beforeAutospacing="0" w:after="0" w:afterAutospacing="0"/>
        <w:jc w:val="both"/>
        <w:rPr>
          <w:rFonts w:ascii="PT Astra Serif" w:hAnsi="PT Astra Serif" w:cs="PT Astra Serif"/>
          <w:b/>
          <w:strike/>
        </w:rPr>
      </w:pPr>
      <w:r>
        <w:rPr>
          <w:rFonts w:ascii="PT Astra Serif" w:eastAsia="PT Astra Serif" w:hAnsi="PT Astra Serif" w:cs="PT Astra Serif"/>
        </w:rPr>
        <w:t xml:space="preserve">- </w:t>
      </w:r>
      <w:r>
        <w:rPr>
          <w:rFonts w:ascii="PT Astra Serif" w:eastAsia="PT Astra Serif" w:hAnsi="PT Astra Serif" w:cs="PT Astra Serif"/>
          <w:b/>
        </w:rPr>
        <w:t>упрощение процедуры продления договора на право размещения нестационарного торгового объекта;</w:t>
      </w:r>
    </w:p>
    <w:p w:rsidR="00C42C61" w:rsidRDefault="00453BBA">
      <w:pPr>
        <w:pStyle w:val="ConsPlusNonformat"/>
        <w:jc w:val="both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eastAsia="PT Astra Serif" w:hAnsi="PT Astra Serif" w:cs="PT Astra Serif"/>
          <w:sz w:val="24"/>
          <w:szCs w:val="24"/>
        </w:rPr>
        <w:t xml:space="preserve">- </w:t>
      </w:r>
      <w:r>
        <w:rPr>
          <w:rFonts w:ascii="PT Astra Serif" w:eastAsia="PT Astra Serif" w:hAnsi="PT Astra Serif" w:cs="PT Astra Serif"/>
          <w:b/>
          <w:sz w:val="24"/>
          <w:szCs w:val="24"/>
          <w:lang w:eastAsia="ru-RU"/>
        </w:rPr>
        <w:t>стимулирование предпринимательской активности</w:t>
      </w:r>
      <w:r>
        <w:rPr>
          <w:rFonts w:ascii="PT Astra Serif" w:eastAsia="PT Astra Serif" w:hAnsi="PT Astra Serif" w:cs="PT Astra Serif"/>
          <w:sz w:val="24"/>
          <w:szCs w:val="24"/>
        </w:rPr>
        <w:t>.</w:t>
      </w:r>
    </w:p>
    <w:p w:rsidR="00C42C61" w:rsidRDefault="00453BBA">
      <w:pPr>
        <w:pStyle w:val="ConsPlusNonformat"/>
        <w:jc w:val="both"/>
        <w:rPr>
          <w:rFonts w:ascii="PT Astra Serif" w:hAnsi="PT Astra Serif" w:cs="PT Astra Serif"/>
          <w:b/>
          <w:sz w:val="24"/>
          <w:szCs w:val="24"/>
          <w:highlight w:val="white"/>
        </w:rPr>
      </w:pPr>
      <w:r>
        <w:rPr>
          <w:rFonts w:ascii="PT Astra Serif" w:eastAsia="PT Astra Serif" w:hAnsi="PT Astra Serif" w:cs="PT Astra Serif"/>
          <w:sz w:val="24"/>
          <w:szCs w:val="24"/>
        </w:rPr>
        <w:tab/>
        <w:t>4. Ожидаемый результат (выраженный установленными органом-разработчиком показател</w:t>
      </w:r>
      <w:r>
        <w:rPr>
          <w:rFonts w:ascii="PT Astra Serif" w:eastAsia="PT Astra Serif" w:hAnsi="PT Astra Serif" w:cs="PT Astra Serif"/>
          <w:sz w:val="24"/>
          <w:szCs w:val="24"/>
        </w:rPr>
        <w:t xml:space="preserve">ями) предлагаемого правового регулирования: </w:t>
      </w:r>
      <w:r>
        <w:rPr>
          <w:rFonts w:ascii="PT Astra Serif" w:eastAsia="PT Astra Serif" w:hAnsi="PT Astra Serif" w:cs="PT Astra Serif"/>
          <w:b/>
          <w:sz w:val="24"/>
          <w:szCs w:val="24"/>
          <w:highlight w:val="white"/>
          <w:lang w:eastAsia="ru-RU"/>
        </w:rPr>
        <w:t>более 2 заявлений на продление договоров в год.</w:t>
      </w:r>
      <w:r>
        <w:rPr>
          <w:rFonts w:ascii="PT Astra Serif" w:eastAsia="PT Astra Serif" w:hAnsi="PT Astra Serif" w:cs="PT Astra Serif"/>
          <w:b/>
          <w:sz w:val="24"/>
          <w:szCs w:val="24"/>
          <w:highlight w:val="white"/>
          <w:lang w:eastAsia="ru-RU"/>
        </w:rPr>
        <w:tab/>
      </w:r>
    </w:p>
    <w:p w:rsidR="00C42C61" w:rsidRDefault="00453BBA">
      <w:pPr>
        <w:pStyle w:val="ConsPlusNonformat"/>
        <w:ind w:firstLine="708"/>
        <w:jc w:val="both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eastAsia="PT Astra Serif" w:hAnsi="PT Astra Serif" w:cs="PT Astra Serif"/>
          <w:sz w:val="24"/>
          <w:szCs w:val="24"/>
        </w:rPr>
        <w:t>5.  Действующие  нормативные  правовые  акты, поручения, другие решения, из которых   вытекает   необходимость   разработки   предлагаемого   правового регулирован</w:t>
      </w:r>
      <w:r>
        <w:rPr>
          <w:rFonts w:ascii="PT Astra Serif" w:eastAsia="PT Astra Serif" w:hAnsi="PT Astra Serif" w:cs="PT Astra Serif"/>
          <w:sz w:val="24"/>
          <w:szCs w:val="24"/>
        </w:rPr>
        <w:t>ия в данной области:</w:t>
      </w:r>
    </w:p>
    <w:p w:rsidR="00C42C61" w:rsidRDefault="00453BBA">
      <w:pPr>
        <w:pStyle w:val="ConsPlusNonformat"/>
        <w:ind w:firstLine="708"/>
        <w:jc w:val="both"/>
        <w:rPr>
          <w:rFonts w:ascii="PT Astra Serif" w:hAnsi="PT Astra Serif" w:cs="PT Astra Serif"/>
          <w:b/>
          <w:sz w:val="24"/>
          <w:szCs w:val="24"/>
        </w:rPr>
      </w:pPr>
      <w:r>
        <w:rPr>
          <w:rFonts w:ascii="PT Astra Serif" w:eastAsia="PT Astra Serif" w:hAnsi="PT Astra Serif" w:cs="PT Astra Serif"/>
          <w:b/>
          <w:sz w:val="24"/>
          <w:szCs w:val="24"/>
        </w:rPr>
        <w:t>- постановление Правительства Белгородской области от 06 сентября 2022 г. № 528-пп «Об особенностях разрешительных режимов в сфере торговли на территории Белгородской области».</w:t>
      </w:r>
    </w:p>
    <w:p w:rsidR="00C42C61" w:rsidRDefault="00453BBA">
      <w:pPr>
        <w:pStyle w:val="ConsPlusNonformat"/>
        <w:ind w:firstLine="708"/>
        <w:jc w:val="both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eastAsia="PT Astra Serif" w:hAnsi="PT Astra Serif" w:cs="PT Astra Serif"/>
          <w:sz w:val="24"/>
          <w:szCs w:val="24"/>
        </w:rPr>
        <w:t>6.Планируемый срок внесения изменений в предлагаемое право</w:t>
      </w:r>
      <w:r>
        <w:rPr>
          <w:rFonts w:ascii="PT Astra Serif" w:eastAsia="PT Astra Serif" w:hAnsi="PT Astra Serif" w:cs="PT Astra Serif"/>
          <w:sz w:val="24"/>
          <w:szCs w:val="24"/>
        </w:rPr>
        <w:t xml:space="preserve">вое регулирование: </w:t>
      </w:r>
      <w:r>
        <w:rPr>
          <w:rFonts w:ascii="PT Astra Serif" w:eastAsia="PT Astra Serif" w:hAnsi="PT Astra Serif" w:cs="PT Astra Serif"/>
          <w:b/>
          <w:sz w:val="24"/>
          <w:szCs w:val="24"/>
        </w:rPr>
        <w:t>декабрь 2024 г.</w:t>
      </w:r>
    </w:p>
    <w:p w:rsidR="00C42C61" w:rsidRDefault="00453BBA">
      <w:pPr>
        <w:pStyle w:val="ConsPlusNonformat"/>
        <w:ind w:firstLine="708"/>
        <w:jc w:val="both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eastAsia="PT Astra Serif" w:hAnsi="PT Astra Serif" w:cs="PT Astra Serif"/>
          <w:sz w:val="24"/>
          <w:szCs w:val="24"/>
        </w:rPr>
        <w:t xml:space="preserve">7.  Сведения  о  необходимости  или  отсутствии  необходимости установления переходного периода: </w:t>
      </w:r>
      <w:r>
        <w:rPr>
          <w:rFonts w:ascii="PT Astra Serif" w:eastAsia="PT Astra Serif" w:hAnsi="PT Astra Serif" w:cs="PT Astra Serif"/>
          <w:b/>
          <w:bCs/>
          <w:sz w:val="24"/>
          <w:szCs w:val="24"/>
        </w:rPr>
        <w:t>отсутствуют</w:t>
      </w:r>
      <w:r>
        <w:rPr>
          <w:rFonts w:ascii="PT Astra Serif" w:eastAsia="PT Astra Serif" w:hAnsi="PT Astra Serif" w:cs="PT Astra Serif"/>
          <w:sz w:val="24"/>
          <w:szCs w:val="24"/>
        </w:rPr>
        <w:t>.</w:t>
      </w:r>
    </w:p>
    <w:p w:rsidR="00C42C61" w:rsidRDefault="00C42C61">
      <w:pPr>
        <w:pStyle w:val="ConsPlusNonformat"/>
        <w:ind w:firstLine="708"/>
        <w:jc w:val="both"/>
        <w:rPr>
          <w:rFonts w:ascii="PT Astra Serif" w:hAnsi="PT Astra Serif" w:cs="PT Astra Serif"/>
          <w:sz w:val="24"/>
          <w:szCs w:val="24"/>
        </w:rPr>
      </w:pPr>
    </w:p>
    <w:p w:rsidR="00C42C61" w:rsidRDefault="00C42C61">
      <w:pPr>
        <w:pStyle w:val="ConsPlusNonformat"/>
        <w:ind w:firstLine="708"/>
        <w:jc w:val="both"/>
        <w:rPr>
          <w:rFonts w:ascii="PT Astra Serif" w:hAnsi="PT Astra Serif" w:cs="PT Astra Serif"/>
          <w:sz w:val="24"/>
          <w:szCs w:val="24"/>
        </w:rPr>
      </w:pPr>
    </w:p>
    <w:p w:rsidR="00C42C61" w:rsidRDefault="00453BBA">
      <w:pPr>
        <w:pStyle w:val="ConsPlusNonformat"/>
        <w:ind w:firstLine="708"/>
        <w:jc w:val="both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eastAsia="PT Astra Serif" w:hAnsi="PT Astra Serif" w:cs="PT Astra Serif"/>
          <w:sz w:val="24"/>
          <w:szCs w:val="24"/>
        </w:rPr>
        <w:t>7. Сравнение возможных вариантов решения проблемы</w:t>
      </w:r>
    </w:p>
    <w:tbl>
      <w:tblPr>
        <w:tblW w:w="1034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2835"/>
        <w:gridCol w:w="2694"/>
        <w:gridCol w:w="2409"/>
      </w:tblGrid>
      <w:tr w:rsidR="00C42C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1" w:rsidRDefault="00C42C61">
            <w:pPr>
              <w:pStyle w:val="ConsPlusNormal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1" w:rsidRDefault="00453BBA">
            <w:pPr>
              <w:pStyle w:val="ConsPlusNormal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Вариант №1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1" w:rsidRDefault="00453BBA">
            <w:pPr>
              <w:pStyle w:val="ConsPlusNormal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Вариант № 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1" w:rsidRDefault="00453BBA">
            <w:pPr>
              <w:pStyle w:val="ConsPlusNormal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Вариант № 3</w:t>
            </w:r>
          </w:p>
        </w:tc>
      </w:tr>
      <w:tr w:rsidR="00C42C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1" w:rsidRDefault="00453BBA">
            <w:pPr>
              <w:pStyle w:val="ConsPlusNormal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7.1. Содержание варианта решения выявленной проблемы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1" w:rsidRDefault="00453BBA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Упрощение процедуры продления договоров на право размещения нестационарных торговых объектов, расширение перечня хо</w:t>
            </w:r>
            <w:r>
              <w:rPr>
                <w:rFonts w:ascii="PT Astra Serif" w:eastAsia="PT Astra Serif" w:hAnsi="PT Astra Serif" w:cs="PT Astra Serif"/>
                <w:sz w:val="24"/>
                <w:szCs w:val="24"/>
                <w:lang w:eastAsia="en-US"/>
              </w:rPr>
              <w:t>зяйствующих субъектов, имеющих право на заключение договоров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1" w:rsidRDefault="00453BBA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  <w:lang w:eastAsia="en-US"/>
              </w:rPr>
              <w:t xml:space="preserve">Отсутствие </w:t>
            </w: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упрощенной проце</w:t>
            </w: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 xml:space="preserve">дуры продления договоров на право размещения нестационарных торговых объектов, невозможность заключения договоров с </w:t>
            </w:r>
            <w:proofErr w:type="spellStart"/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самозанятыми</w:t>
            </w:r>
            <w:proofErr w:type="spellEnd"/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 xml:space="preserve"> гражданами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1" w:rsidRDefault="00453BBA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  <w:lang w:eastAsia="en-US"/>
              </w:rPr>
              <w:t>Размещение нестационарных торговых объектов в рамках 442-пп от 6 ноября 2012 года в формате ярмарок.</w:t>
            </w:r>
          </w:p>
        </w:tc>
      </w:tr>
      <w:tr w:rsidR="00C42C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1" w:rsidRDefault="00453BBA">
            <w:pPr>
              <w:pStyle w:val="ConsPlusNormal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7.2. Качествен</w:t>
            </w: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1" w:rsidRDefault="00453BBA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  <w:lang w:eastAsia="en-US"/>
              </w:rPr>
              <w:t xml:space="preserve">Количество нестационарных торговых объектов на территории </w:t>
            </w:r>
            <w:proofErr w:type="spellStart"/>
            <w:r>
              <w:rPr>
                <w:rFonts w:ascii="PT Astra Serif" w:eastAsia="PT Astra Serif" w:hAnsi="PT Astra Serif" w:cs="PT Astra Serif"/>
                <w:sz w:val="24"/>
                <w:szCs w:val="24"/>
                <w:lang w:eastAsia="en-US"/>
              </w:rPr>
              <w:t>Красненского</w:t>
            </w:r>
            <w:proofErr w:type="spellEnd"/>
            <w:r>
              <w:rPr>
                <w:rFonts w:ascii="PT Astra Serif" w:eastAsia="PT Astra Serif" w:hAnsi="PT Astra Serif" w:cs="PT Astra Serif"/>
                <w:sz w:val="24"/>
                <w:szCs w:val="24"/>
                <w:lang w:eastAsia="en-US"/>
              </w:rPr>
              <w:t xml:space="preserve"> района</w:t>
            </w:r>
          </w:p>
          <w:p w:rsidR="00C42C61" w:rsidRDefault="00453BBA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  <w:lang w:eastAsia="en-US"/>
              </w:rPr>
              <w:t>(более  2 ед.)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1" w:rsidRDefault="00453BBA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  <w:lang w:eastAsia="en-US"/>
              </w:rPr>
              <w:t>Количество нест</w:t>
            </w:r>
            <w:r>
              <w:rPr>
                <w:rFonts w:ascii="PT Astra Serif" w:eastAsia="PT Astra Serif" w:hAnsi="PT Astra Serif" w:cs="PT Astra Serif"/>
                <w:sz w:val="24"/>
                <w:szCs w:val="24"/>
                <w:lang w:eastAsia="en-US"/>
              </w:rPr>
              <w:t xml:space="preserve">ационарных торговых объектов на территории </w:t>
            </w:r>
            <w:proofErr w:type="spellStart"/>
            <w:r>
              <w:rPr>
                <w:rFonts w:ascii="PT Astra Serif" w:eastAsia="PT Astra Serif" w:hAnsi="PT Astra Serif" w:cs="PT Astra Serif"/>
                <w:sz w:val="24"/>
                <w:szCs w:val="24"/>
                <w:lang w:eastAsia="en-US"/>
              </w:rPr>
              <w:t>Красненского</w:t>
            </w:r>
            <w:proofErr w:type="spellEnd"/>
            <w:r>
              <w:rPr>
                <w:rFonts w:ascii="PT Astra Serif" w:eastAsia="PT Astra Serif" w:hAnsi="PT Astra Serif" w:cs="PT Astra Serif"/>
                <w:sz w:val="24"/>
                <w:szCs w:val="24"/>
                <w:lang w:eastAsia="en-US"/>
              </w:rPr>
              <w:t xml:space="preserve"> района</w:t>
            </w:r>
          </w:p>
          <w:p w:rsidR="00C42C61" w:rsidRDefault="00453BBA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  <w:lang w:eastAsia="en-US"/>
              </w:rPr>
              <w:t>(менее 2 ед.)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1" w:rsidRDefault="00453BBA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  <w:lang w:eastAsia="en-US"/>
              </w:rPr>
              <w:t xml:space="preserve">Количество нестационарных торговых объектов на территории </w:t>
            </w:r>
            <w:proofErr w:type="spellStart"/>
            <w:r>
              <w:rPr>
                <w:rFonts w:ascii="PT Astra Serif" w:eastAsia="PT Astra Serif" w:hAnsi="PT Astra Serif" w:cs="PT Astra Serif"/>
                <w:sz w:val="24"/>
                <w:szCs w:val="24"/>
                <w:lang w:eastAsia="en-US"/>
              </w:rPr>
              <w:t>Красненского</w:t>
            </w:r>
            <w:proofErr w:type="spellEnd"/>
            <w:r>
              <w:rPr>
                <w:rFonts w:ascii="PT Astra Serif" w:eastAsia="PT Astra Serif" w:hAnsi="PT Astra Serif" w:cs="PT Astra Serif"/>
                <w:sz w:val="24"/>
                <w:szCs w:val="24"/>
                <w:lang w:eastAsia="en-US"/>
              </w:rPr>
              <w:t xml:space="preserve"> района</w:t>
            </w:r>
          </w:p>
          <w:p w:rsidR="00C42C61" w:rsidRDefault="00453BBA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  <w:lang w:eastAsia="en-US"/>
              </w:rPr>
              <w:t>(не более 1 ед.)</w:t>
            </w:r>
          </w:p>
        </w:tc>
      </w:tr>
      <w:tr w:rsidR="00C42C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1" w:rsidRDefault="00453BBA">
            <w:pPr>
              <w:pStyle w:val="ConsPlusNormal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1" w:rsidRDefault="00453BBA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  <w:lang w:eastAsia="en-US"/>
              </w:rPr>
              <w:t>Не потребуется дополнительных расходов со стороны потенциальных адресатов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1" w:rsidRDefault="00453BBA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  <w:lang w:eastAsia="en-US"/>
              </w:rPr>
              <w:t>Не потребуется дополнительных расходов со сторо</w:t>
            </w:r>
            <w:r>
              <w:rPr>
                <w:rFonts w:ascii="PT Astra Serif" w:eastAsia="PT Astra Serif" w:hAnsi="PT Astra Serif" w:cs="PT Astra Serif"/>
                <w:sz w:val="24"/>
                <w:szCs w:val="24"/>
                <w:lang w:eastAsia="en-US"/>
              </w:rPr>
              <w:t>ны потенциальных адресатов</w:t>
            </w: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1" w:rsidRDefault="00453BBA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  <w:lang w:eastAsia="en-US"/>
              </w:rPr>
              <w:t xml:space="preserve">Принятие предполагаемого правового регулирования повлечет получение убытков хозяйствующими субъектами по причине невозможности долговременного размещения киосков и павильонов на ярмарках  </w:t>
            </w:r>
          </w:p>
        </w:tc>
      </w:tr>
      <w:tr w:rsidR="00C42C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1" w:rsidRDefault="00453BBA">
            <w:pPr>
              <w:pStyle w:val="ConsPlusNormal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7.4. Оценка расходов (доходов) бюджета</w:t>
            </w: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Красненского</w:t>
            </w:r>
            <w:proofErr w:type="spellEnd"/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 xml:space="preserve"> района, связанных с введением предлагаемого правового регулирования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1" w:rsidRDefault="00453BBA">
            <w:pPr>
              <w:jc w:val="center"/>
              <w:rPr>
                <w:rFonts w:ascii="PT Astra Serif" w:hAnsi="PT Astra Serif" w:cs="PT Astra Serif"/>
                <w:bCs/>
                <w:sz w:val="24"/>
                <w:szCs w:val="24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bCs/>
                <w:sz w:val="24"/>
                <w:szCs w:val="24"/>
                <w:lang w:eastAsia="en-US"/>
              </w:rPr>
              <w:t xml:space="preserve">Доход бюджета </w:t>
            </w:r>
            <w:proofErr w:type="spellStart"/>
            <w:r>
              <w:rPr>
                <w:rFonts w:ascii="PT Astra Serif" w:eastAsia="PT Astra Serif" w:hAnsi="PT Astra Serif" w:cs="PT Astra Serif"/>
                <w:bCs/>
                <w:sz w:val="24"/>
                <w:szCs w:val="24"/>
                <w:lang w:eastAsia="en-US"/>
              </w:rPr>
              <w:t>Красненского</w:t>
            </w:r>
            <w:proofErr w:type="spellEnd"/>
            <w:r>
              <w:rPr>
                <w:rFonts w:ascii="PT Astra Serif" w:eastAsia="PT Astra Serif" w:hAnsi="PT Astra Serif" w:cs="PT Astra Serif"/>
                <w:bCs/>
                <w:sz w:val="24"/>
                <w:szCs w:val="24"/>
                <w:lang w:eastAsia="en-US"/>
              </w:rPr>
              <w:t xml:space="preserve"> района увеличится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1" w:rsidRDefault="00453BBA">
            <w:pPr>
              <w:jc w:val="center"/>
              <w:rPr>
                <w:rFonts w:ascii="PT Astra Serif" w:hAnsi="PT Astra Serif" w:cs="PT Astra Serif"/>
                <w:bCs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bCs/>
                <w:sz w:val="24"/>
                <w:szCs w:val="24"/>
                <w:lang w:eastAsia="en-US"/>
              </w:rPr>
              <w:t xml:space="preserve">Доход бюджета </w:t>
            </w:r>
            <w:proofErr w:type="spellStart"/>
            <w:r>
              <w:rPr>
                <w:rFonts w:ascii="PT Astra Serif" w:eastAsia="PT Astra Serif" w:hAnsi="PT Astra Serif" w:cs="PT Astra Serif"/>
                <w:bCs/>
                <w:sz w:val="24"/>
                <w:szCs w:val="24"/>
                <w:lang w:eastAsia="en-US"/>
              </w:rPr>
              <w:t>Красненского</w:t>
            </w:r>
            <w:proofErr w:type="spellEnd"/>
            <w:r>
              <w:rPr>
                <w:rFonts w:ascii="PT Astra Serif" w:eastAsia="PT Astra Serif" w:hAnsi="PT Astra Serif" w:cs="PT Astra Serif"/>
                <w:bCs/>
                <w:sz w:val="24"/>
                <w:szCs w:val="24"/>
                <w:lang w:eastAsia="en-US"/>
              </w:rPr>
              <w:t xml:space="preserve"> района останется на прежнем уровне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1" w:rsidRDefault="00453BBA">
            <w:pPr>
              <w:jc w:val="center"/>
              <w:rPr>
                <w:rFonts w:ascii="PT Astra Serif" w:hAnsi="PT Astra Serif" w:cs="PT Astra Serif"/>
                <w:bCs/>
                <w:sz w:val="24"/>
                <w:szCs w:val="24"/>
                <w:highlight w:val="yellow"/>
              </w:rPr>
            </w:pPr>
            <w:r>
              <w:rPr>
                <w:rFonts w:ascii="PT Astra Serif" w:eastAsia="PT Astra Serif" w:hAnsi="PT Astra Serif" w:cs="PT Astra Serif"/>
                <w:bCs/>
                <w:sz w:val="24"/>
                <w:szCs w:val="24"/>
                <w:lang w:eastAsia="en-US"/>
              </w:rPr>
              <w:t xml:space="preserve">Бюджет </w:t>
            </w:r>
            <w:proofErr w:type="spellStart"/>
            <w:r>
              <w:rPr>
                <w:rFonts w:ascii="PT Astra Serif" w:eastAsia="PT Astra Serif" w:hAnsi="PT Astra Serif" w:cs="PT Astra Serif"/>
                <w:bCs/>
                <w:sz w:val="24"/>
                <w:szCs w:val="24"/>
                <w:lang w:eastAsia="en-US"/>
              </w:rPr>
              <w:t>Красненского</w:t>
            </w:r>
            <w:proofErr w:type="spellEnd"/>
            <w:r>
              <w:rPr>
                <w:rFonts w:ascii="PT Astra Serif" w:eastAsia="PT Astra Serif" w:hAnsi="PT Astra Serif" w:cs="PT Astra Serif"/>
                <w:bCs/>
                <w:sz w:val="24"/>
                <w:szCs w:val="24"/>
                <w:lang w:eastAsia="en-US"/>
              </w:rPr>
              <w:t xml:space="preserve"> района не </w:t>
            </w:r>
            <w:r>
              <w:rPr>
                <w:rFonts w:ascii="PT Astra Serif" w:eastAsia="PT Astra Serif" w:hAnsi="PT Astra Serif" w:cs="PT Astra Serif"/>
                <w:bCs/>
                <w:sz w:val="24"/>
                <w:szCs w:val="24"/>
                <w:highlight w:val="white"/>
                <w:lang w:eastAsia="en-US"/>
              </w:rPr>
              <w:t xml:space="preserve">дополучит </w:t>
            </w:r>
            <w:r>
              <w:rPr>
                <w:rFonts w:ascii="PT Astra Serif" w:eastAsia="PT Astra Serif" w:hAnsi="PT Astra Serif" w:cs="PT Astra Serif"/>
                <w:bCs/>
                <w:sz w:val="24"/>
                <w:szCs w:val="24"/>
                <w:lang w:eastAsia="en-US"/>
              </w:rPr>
              <w:t>сумм за аренду земельного у</w:t>
            </w:r>
            <w:r>
              <w:rPr>
                <w:rFonts w:ascii="PT Astra Serif" w:eastAsia="PT Astra Serif" w:hAnsi="PT Astra Serif" w:cs="PT Astra Serif"/>
                <w:bCs/>
                <w:sz w:val="24"/>
                <w:szCs w:val="24"/>
                <w:lang w:eastAsia="en-US"/>
              </w:rPr>
              <w:t>частка под размещение нестационарных торговых объектов</w:t>
            </w:r>
          </w:p>
        </w:tc>
      </w:tr>
      <w:tr w:rsidR="00C42C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1" w:rsidRDefault="00453BBA">
            <w:pPr>
              <w:pStyle w:val="ConsPlusNormal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 xml:space="preserve">7.5. Оценка возможности достижения </w:t>
            </w: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lastRenderedPageBreak/>
              <w:t>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1" w:rsidRDefault="00453BBA">
            <w:pPr>
              <w:jc w:val="center"/>
              <w:rPr>
                <w:rFonts w:ascii="PT Astra Serif" w:hAnsi="PT Astra Serif" w:cs="PT Astra Serif"/>
                <w:bCs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bCs/>
                <w:sz w:val="24"/>
                <w:szCs w:val="24"/>
                <w:lang w:eastAsia="en-US"/>
              </w:rPr>
              <w:lastRenderedPageBreak/>
              <w:t>Заявленные цели предлаг</w:t>
            </w:r>
            <w:r>
              <w:rPr>
                <w:rFonts w:ascii="PT Astra Serif" w:eastAsia="PT Astra Serif" w:hAnsi="PT Astra Serif" w:cs="PT Astra Serif"/>
                <w:bCs/>
                <w:sz w:val="24"/>
                <w:szCs w:val="24"/>
                <w:lang w:eastAsia="en-US"/>
              </w:rPr>
              <w:t xml:space="preserve">аемого правового регулирования будут </w:t>
            </w:r>
            <w:r>
              <w:rPr>
                <w:rFonts w:ascii="PT Astra Serif" w:eastAsia="PT Astra Serif" w:hAnsi="PT Astra Serif" w:cs="PT Astra Serif"/>
                <w:bCs/>
                <w:sz w:val="24"/>
                <w:szCs w:val="24"/>
                <w:lang w:eastAsia="en-US"/>
              </w:rPr>
              <w:lastRenderedPageBreak/>
              <w:t>достигнуты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1" w:rsidRDefault="00453BBA">
            <w:pPr>
              <w:jc w:val="center"/>
              <w:rPr>
                <w:rFonts w:ascii="PT Astra Serif" w:hAnsi="PT Astra Serif" w:cs="PT Astra Serif"/>
                <w:bCs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bCs/>
                <w:sz w:val="24"/>
                <w:szCs w:val="24"/>
                <w:lang w:eastAsia="en-US"/>
              </w:rPr>
              <w:lastRenderedPageBreak/>
              <w:t>Достижение цели не представляется возможным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1" w:rsidRDefault="00453BBA">
            <w:pPr>
              <w:widowControl w:val="0"/>
              <w:jc w:val="center"/>
              <w:rPr>
                <w:rFonts w:ascii="PT Astra Serif" w:hAnsi="PT Astra Serif" w:cs="PT Astra Serif"/>
                <w:color w:val="FF0000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 xml:space="preserve">Правовое регулирование  не обеспечивает </w:t>
            </w: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lastRenderedPageBreak/>
              <w:t>достижение заявленных целей в полном объеме</w:t>
            </w:r>
            <w:r>
              <w:rPr>
                <w:rFonts w:ascii="PT Astra Serif" w:eastAsia="PT Astra Serif" w:hAnsi="PT Astra Serif" w:cs="PT Astra Serif"/>
                <w:sz w:val="24"/>
                <w:szCs w:val="24"/>
                <w:lang w:eastAsia="en-US"/>
              </w:rPr>
              <w:t xml:space="preserve"> по причине невозможности долговременного размещения киосков и павильонов на ярма</w:t>
            </w:r>
            <w:r>
              <w:rPr>
                <w:rFonts w:ascii="PT Astra Serif" w:eastAsia="PT Astra Serif" w:hAnsi="PT Astra Serif" w:cs="PT Astra Serif"/>
                <w:sz w:val="24"/>
                <w:szCs w:val="24"/>
                <w:lang w:eastAsia="en-US"/>
              </w:rPr>
              <w:t xml:space="preserve">рках  </w:t>
            </w:r>
          </w:p>
        </w:tc>
      </w:tr>
      <w:tr w:rsidR="00C42C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1" w:rsidRDefault="00453BBA">
            <w:pPr>
              <w:pStyle w:val="ConsPlusNormal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lastRenderedPageBreak/>
              <w:t>7.6. Оценка рисков неблагоприятных последствий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1" w:rsidRDefault="00453BBA">
            <w:pPr>
              <w:widowControl w:val="0"/>
              <w:jc w:val="center"/>
              <w:rPr>
                <w:rFonts w:ascii="PT Astra Serif" w:hAnsi="PT Astra Serif" w:cs="PT Astra Serif"/>
                <w:bCs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bCs/>
                <w:sz w:val="24"/>
                <w:szCs w:val="24"/>
                <w:lang w:eastAsia="en-US"/>
              </w:rPr>
              <w:t>Отсутствуют</w:t>
            </w:r>
          </w:p>
          <w:p w:rsidR="00C42C61" w:rsidRDefault="00C42C61">
            <w:pPr>
              <w:widowControl w:val="0"/>
              <w:jc w:val="center"/>
              <w:rPr>
                <w:rFonts w:ascii="PT Astra Serif" w:hAnsi="PT Astra Serif" w:cs="PT Astra Serif"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1" w:rsidRDefault="00453BBA">
            <w:pPr>
              <w:widowControl w:val="0"/>
              <w:jc w:val="center"/>
              <w:rPr>
                <w:rFonts w:ascii="PT Astra Serif" w:hAnsi="PT Astra Serif" w:cs="PT Astra Serif"/>
                <w:bCs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bCs/>
                <w:sz w:val="24"/>
                <w:szCs w:val="24"/>
                <w:lang w:eastAsia="en-US"/>
              </w:rPr>
              <w:t xml:space="preserve">Невозможность </w:t>
            </w: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 xml:space="preserve">заключения договоров с </w:t>
            </w:r>
            <w:proofErr w:type="spellStart"/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самозанятыми</w:t>
            </w:r>
            <w:proofErr w:type="spellEnd"/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 xml:space="preserve"> гражданами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1" w:rsidRDefault="00453BBA">
            <w:pPr>
              <w:widowControl w:val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 xml:space="preserve">Существует риск </w:t>
            </w:r>
            <w:proofErr w:type="gramStart"/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уменьшения активности деятельности субъектов малого предпринимательства</w:t>
            </w:r>
            <w:proofErr w:type="gramEnd"/>
          </w:p>
        </w:tc>
      </w:tr>
      <w:tr w:rsidR="00C42C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1" w:rsidRDefault="00453BBA">
            <w:pPr>
              <w:pStyle w:val="ConsPlusNormal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7.7. Оценка воздействия на состояние конкуренции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1" w:rsidRDefault="00453BBA">
            <w:pPr>
              <w:widowControl w:val="0"/>
              <w:jc w:val="center"/>
              <w:rPr>
                <w:rFonts w:ascii="PT Astra Serif" w:hAnsi="PT Astra Serif" w:cs="PT Astra Serif"/>
                <w:bCs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bCs/>
                <w:sz w:val="24"/>
                <w:szCs w:val="24"/>
                <w:lang w:eastAsia="en-US"/>
              </w:rPr>
              <w:t xml:space="preserve">Повысит </w:t>
            </w:r>
            <w:proofErr w:type="spellStart"/>
            <w:r>
              <w:rPr>
                <w:rFonts w:ascii="PT Astra Serif" w:eastAsia="PT Astra Serif" w:hAnsi="PT Astra Serif" w:cs="PT Astra Serif"/>
                <w:bCs/>
                <w:sz w:val="24"/>
                <w:szCs w:val="24"/>
                <w:lang w:eastAsia="en-US"/>
              </w:rPr>
              <w:t>конкурентность</w:t>
            </w:r>
            <w:proofErr w:type="spellEnd"/>
            <w:r>
              <w:rPr>
                <w:rFonts w:ascii="PT Astra Serif" w:eastAsia="PT Astra Serif" w:hAnsi="PT Astra Serif" w:cs="PT Astra Serif"/>
                <w:bCs/>
                <w:sz w:val="24"/>
                <w:szCs w:val="24"/>
                <w:lang w:eastAsia="en-US"/>
              </w:rPr>
              <w:t xml:space="preserve"> на рынке розничной торговли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1" w:rsidRDefault="00453BBA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bCs/>
                <w:sz w:val="24"/>
                <w:szCs w:val="24"/>
                <w:lang w:eastAsia="en-US"/>
              </w:rPr>
              <w:t>Возможен риск нарушения конкуренции на рынке розничной торговли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61" w:rsidRDefault="00453BBA">
            <w:pPr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bCs/>
                <w:sz w:val="24"/>
                <w:szCs w:val="24"/>
                <w:lang w:eastAsia="en-US"/>
              </w:rPr>
              <w:t>Возможен риск нарушения конкуренции на рынке розничной торговли</w:t>
            </w:r>
          </w:p>
        </w:tc>
      </w:tr>
    </w:tbl>
    <w:p w:rsidR="00C42C61" w:rsidRDefault="00453BBA">
      <w:pPr>
        <w:pStyle w:val="ConsPlusNonformat"/>
        <w:jc w:val="both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eastAsia="PT Astra Serif" w:hAnsi="PT Astra Serif" w:cs="PT Astra Serif"/>
          <w:sz w:val="24"/>
          <w:szCs w:val="24"/>
        </w:rPr>
        <w:t>9.  Иная информация по решению органа-разработчика, относящаяся к сведениям о подготовке идеи (концепции) предлагаемого правового регулирования: отсутствует.</w:t>
      </w:r>
    </w:p>
    <w:p w:rsidR="00C42C61" w:rsidRDefault="00453BBA">
      <w:pPr>
        <w:pStyle w:val="ConsPlusNonformat"/>
        <w:ind w:firstLine="708"/>
        <w:jc w:val="both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eastAsia="PT Astra Serif" w:hAnsi="PT Astra Serif" w:cs="PT Astra Serif"/>
          <w:sz w:val="24"/>
          <w:szCs w:val="24"/>
        </w:rPr>
        <w:t>К уведомлению прилагаются:</w:t>
      </w:r>
    </w:p>
    <w:p w:rsidR="00C42C61" w:rsidRDefault="00C42C61">
      <w:pPr>
        <w:pStyle w:val="ConsPlusNonformat"/>
        <w:jc w:val="both"/>
        <w:rPr>
          <w:rFonts w:ascii="PT Astra Serif" w:hAnsi="PT Astra Serif" w:cs="PT Astra Serif"/>
          <w:sz w:val="24"/>
          <w:szCs w:val="24"/>
        </w:rPr>
      </w:pPr>
    </w:p>
    <w:tbl>
      <w:tblPr>
        <w:tblStyle w:val="af8"/>
        <w:tblW w:w="10314" w:type="dxa"/>
        <w:tblLook w:val="04A0" w:firstRow="1" w:lastRow="0" w:firstColumn="1" w:lastColumn="0" w:noHBand="0" w:noVBand="1"/>
      </w:tblPr>
      <w:tblGrid>
        <w:gridCol w:w="534"/>
        <w:gridCol w:w="7371"/>
        <w:gridCol w:w="2409"/>
      </w:tblGrid>
      <w:tr w:rsidR="00C42C61">
        <w:tc>
          <w:tcPr>
            <w:tcW w:w="534" w:type="dxa"/>
          </w:tcPr>
          <w:p w:rsidR="00C42C61" w:rsidRDefault="00C42C61">
            <w:pPr>
              <w:pStyle w:val="ConsPlusNormal"/>
              <w:rPr>
                <w:rFonts w:ascii="PT Astra Serif" w:hAnsi="PT Astra Serif" w:cs="PT Astra Serif"/>
                <w:sz w:val="24"/>
                <w:szCs w:val="24"/>
              </w:rPr>
            </w:pPr>
          </w:p>
          <w:p w:rsidR="00C42C61" w:rsidRDefault="00453BBA">
            <w:pPr>
              <w:pStyle w:val="ConsPlusNormal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1.</w:t>
            </w:r>
          </w:p>
        </w:tc>
        <w:tc>
          <w:tcPr>
            <w:tcW w:w="7371" w:type="dxa"/>
          </w:tcPr>
          <w:p w:rsidR="00C42C61" w:rsidRDefault="00C42C61">
            <w:pPr>
              <w:pStyle w:val="ConsPlusNormal"/>
              <w:rPr>
                <w:rFonts w:ascii="PT Astra Serif" w:hAnsi="PT Astra Serif" w:cs="PT Astra Serif"/>
                <w:sz w:val="24"/>
                <w:szCs w:val="24"/>
              </w:rPr>
            </w:pPr>
          </w:p>
          <w:p w:rsidR="00C42C61" w:rsidRDefault="00453BBA">
            <w:pPr>
              <w:pStyle w:val="ConsPlusNormal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Перечень вопросов для участников публичных консультаций</w:t>
            </w:r>
          </w:p>
          <w:p w:rsidR="00C42C61" w:rsidRDefault="00C42C61">
            <w:pPr>
              <w:pStyle w:val="ConsPlusNormal"/>
              <w:rPr>
                <w:rFonts w:ascii="PT Astra Serif" w:hAnsi="PT Astra Serif" w:cs="PT Astra Serif"/>
                <w:sz w:val="24"/>
                <w:szCs w:val="24"/>
              </w:rPr>
            </w:pPr>
          </w:p>
        </w:tc>
        <w:tc>
          <w:tcPr>
            <w:tcW w:w="2409" w:type="dxa"/>
          </w:tcPr>
          <w:p w:rsidR="00C42C61" w:rsidRDefault="00C42C61">
            <w:pPr>
              <w:pStyle w:val="ConsPlusNormal"/>
              <w:rPr>
                <w:rFonts w:ascii="PT Astra Serif" w:hAnsi="PT Astra Serif" w:cs="PT Astra Serif"/>
                <w:sz w:val="24"/>
                <w:szCs w:val="24"/>
              </w:rPr>
            </w:pPr>
          </w:p>
          <w:p w:rsidR="00C42C61" w:rsidRDefault="00453BBA">
            <w:pPr>
              <w:pStyle w:val="ConsPlusNormal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прилагается</w:t>
            </w:r>
          </w:p>
        </w:tc>
      </w:tr>
      <w:tr w:rsidR="00C42C61">
        <w:tc>
          <w:tcPr>
            <w:tcW w:w="534" w:type="dxa"/>
          </w:tcPr>
          <w:p w:rsidR="00C42C61" w:rsidRDefault="00C42C61">
            <w:pPr>
              <w:pStyle w:val="ConsPlusNormal"/>
              <w:rPr>
                <w:rFonts w:ascii="PT Astra Serif" w:hAnsi="PT Astra Serif" w:cs="PT Astra Serif"/>
                <w:sz w:val="24"/>
                <w:szCs w:val="24"/>
              </w:rPr>
            </w:pPr>
          </w:p>
          <w:p w:rsidR="00C42C61" w:rsidRDefault="00453BBA">
            <w:pPr>
              <w:pStyle w:val="ConsPlusNormal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C42C61" w:rsidRDefault="00453BBA">
            <w:pPr>
              <w:pStyle w:val="ConsPlusNormal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 xml:space="preserve">Иные материалы, </w:t>
            </w:r>
            <w:proofErr w:type="gramStart"/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которые</w:t>
            </w:r>
            <w:proofErr w:type="gramEnd"/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 xml:space="preserve"> по мнению органа-разработчика,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2409" w:type="dxa"/>
          </w:tcPr>
          <w:p w:rsidR="00C42C61" w:rsidRDefault="00C42C61">
            <w:pPr>
              <w:pStyle w:val="ConsPlusNormal"/>
              <w:rPr>
                <w:rFonts w:ascii="PT Astra Serif" w:hAnsi="PT Astra Serif" w:cs="PT Astra Serif"/>
                <w:sz w:val="24"/>
                <w:szCs w:val="24"/>
              </w:rPr>
            </w:pPr>
          </w:p>
          <w:p w:rsidR="00C42C61" w:rsidRDefault="00453BBA">
            <w:pPr>
              <w:pStyle w:val="ConsPlusNormal"/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eastAsia="PT Astra Serif" w:hAnsi="PT Astra Serif" w:cs="PT Astra Serif"/>
                <w:sz w:val="24"/>
                <w:szCs w:val="24"/>
              </w:rPr>
              <w:t>отсутствуют</w:t>
            </w:r>
          </w:p>
        </w:tc>
      </w:tr>
    </w:tbl>
    <w:p w:rsidR="00C42C61" w:rsidRDefault="00C42C61">
      <w:pPr>
        <w:pStyle w:val="ConsPlusNormal"/>
        <w:ind w:firstLine="540"/>
        <w:jc w:val="both"/>
        <w:rPr>
          <w:rFonts w:ascii="PT Astra Serif" w:hAnsi="PT Astra Serif" w:cs="PT Astra Serif"/>
          <w:sz w:val="24"/>
          <w:szCs w:val="24"/>
        </w:rPr>
      </w:pPr>
    </w:p>
    <w:p w:rsidR="00C42C61" w:rsidRDefault="00C42C61">
      <w:pPr>
        <w:pStyle w:val="ConsPlusNormal"/>
        <w:ind w:firstLine="540"/>
        <w:jc w:val="both"/>
        <w:rPr>
          <w:rFonts w:ascii="PT Astra Serif" w:hAnsi="PT Astra Serif" w:cs="PT Astra Serif"/>
          <w:sz w:val="24"/>
          <w:szCs w:val="24"/>
        </w:rPr>
      </w:pPr>
    </w:p>
    <w:p w:rsidR="00C42C61" w:rsidRDefault="00453BBA">
      <w:pPr>
        <w:jc w:val="both"/>
        <w:rPr>
          <w:b/>
          <w:szCs w:val="28"/>
        </w:rPr>
      </w:pPr>
      <w:r>
        <w:rPr>
          <w:b/>
          <w:sz w:val="24"/>
          <w:szCs w:val="24"/>
        </w:rPr>
        <w:t>Начальник отдела планирования,</w:t>
      </w:r>
    </w:p>
    <w:p w:rsidR="00C42C61" w:rsidRDefault="00453BBA">
      <w:pPr>
        <w:jc w:val="both"/>
        <w:rPr>
          <w:b/>
          <w:szCs w:val="28"/>
        </w:rPr>
      </w:pPr>
      <w:r>
        <w:rPr>
          <w:b/>
          <w:sz w:val="24"/>
          <w:szCs w:val="24"/>
        </w:rPr>
        <w:t xml:space="preserve">экономического анализа </w:t>
      </w:r>
      <w:proofErr w:type="gramStart"/>
      <w:r>
        <w:rPr>
          <w:b/>
          <w:sz w:val="24"/>
          <w:szCs w:val="24"/>
        </w:rPr>
        <w:t>хозяйственной</w:t>
      </w:r>
      <w:proofErr w:type="gramEnd"/>
    </w:p>
    <w:p w:rsidR="00C42C61" w:rsidRDefault="00453BBA">
      <w:pPr>
        <w:jc w:val="both"/>
        <w:rPr>
          <w:b/>
          <w:szCs w:val="28"/>
        </w:rPr>
      </w:pPr>
      <w:r>
        <w:rPr>
          <w:b/>
          <w:sz w:val="24"/>
          <w:szCs w:val="24"/>
        </w:rPr>
        <w:t>деятельности предприя</w:t>
      </w:r>
      <w:r>
        <w:rPr>
          <w:b/>
          <w:sz w:val="24"/>
          <w:szCs w:val="24"/>
        </w:rPr>
        <w:t>тий района и</w:t>
      </w:r>
    </w:p>
    <w:p w:rsidR="00C42C61" w:rsidRDefault="00453BBA">
      <w:pPr>
        <w:jc w:val="both"/>
        <w:rPr>
          <w:b/>
          <w:szCs w:val="28"/>
        </w:rPr>
      </w:pPr>
      <w:r>
        <w:rPr>
          <w:b/>
          <w:sz w:val="24"/>
          <w:szCs w:val="24"/>
        </w:rPr>
        <w:t>охраны  труда управления экономического</w:t>
      </w:r>
    </w:p>
    <w:p w:rsidR="00C42C61" w:rsidRDefault="00453BBA">
      <w:pPr>
        <w:jc w:val="both"/>
        <w:rPr>
          <w:b/>
          <w:szCs w:val="28"/>
        </w:rPr>
      </w:pPr>
      <w:r>
        <w:rPr>
          <w:b/>
          <w:sz w:val="24"/>
          <w:szCs w:val="24"/>
        </w:rPr>
        <w:t>развития и муниципальной собственности</w:t>
      </w:r>
    </w:p>
    <w:p w:rsidR="00C42C61" w:rsidRDefault="00453BBA">
      <w:pPr>
        <w:jc w:val="both"/>
        <w:rPr>
          <w:b/>
          <w:szCs w:val="28"/>
        </w:rPr>
      </w:pPr>
      <w:r>
        <w:rPr>
          <w:b/>
          <w:sz w:val="24"/>
          <w:szCs w:val="24"/>
        </w:rPr>
        <w:t>администрации района                                                                                          Н.Н. Ляхова</w:t>
      </w:r>
    </w:p>
    <w:p w:rsidR="00C42C61" w:rsidRDefault="00C42C61">
      <w:pPr>
        <w:jc w:val="both"/>
        <w:rPr>
          <w:b/>
          <w:szCs w:val="28"/>
        </w:rPr>
      </w:pPr>
    </w:p>
    <w:p w:rsidR="00C42C61" w:rsidRDefault="00453BBA">
      <w:pPr>
        <w:pStyle w:val="ConsPlusNormal"/>
        <w:jc w:val="both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</w:rPr>
        <w:t>15.07.2024 г.</w:t>
      </w:r>
    </w:p>
    <w:p w:rsidR="00C42C61" w:rsidRDefault="00C42C61">
      <w:pPr>
        <w:pStyle w:val="ConsPlusNormal"/>
        <w:ind w:firstLine="540"/>
        <w:jc w:val="both"/>
        <w:rPr>
          <w:rFonts w:ascii="PT Astra Serif" w:hAnsi="PT Astra Serif" w:cs="PT Astra Serif"/>
          <w:sz w:val="24"/>
          <w:szCs w:val="24"/>
        </w:rPr>
      </w:pPr>
    </w:p>
    <w:p w:rsidR="00C42C61" w:rsidRDefault="00C42C61">
      <w:pPr>
        <w:pStyle w:val="ConsPlusNormal"/>
        <w:ind w:firstLine="540"/>
        <w:jc w:val="both"/>
        <w:rPr>
          <w:rFonts w:ascii="PT Astra Serif" w:hAnsi="PT Astra Serif" w:cs="PT Astra Serif"/>
          <w:sz w:val="24"/>
          <w:szCs w:val="24"/>
        </w:rPr>
      </w:pPr>
    </w:p>
    <w:p w:rsidR="00C42C61" w:rsidRDefault="00C42C61" w:rsidP="007F70B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42C61" w:rsidRDefault="00C42C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2C61" w:rsidRDefault="00C42C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2C61" w:rsidRDefault="00C42C6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sectPr w:rsidR="00C42C61">
      <w:pgSz w:w="11906" w:h="16838"/>
      <w:pgMar w:top="1276" w:right="70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BBA" w:rsidRDefault="00453BBA">
      <w:r>
        <w:separator/>
      </w:r>
    </w:p>
  </w:endnote>
  <w:endnote w:type="continuationSeparator" w:id="0">
    <w:p w:rsidR="00453BBA" w:rsidRDefault="00453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BBA" w:rsidRDefault="00453BBA">
      <w:r>
        <w:separator/>
      </w:r>
    </w:p>
  </w:footnote>
  <w:footnote w:type="continuationSeparator" w:id="0">
    <w:p w:rsidR="00453BBA" w:rsidRDefault="00453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32168"/>
    <w:multiLevelType w:val="hybridMultilevel"/>
    <w:tmpl w:val="8D00AAEE"/>
    <w:lvl w:ilvl="0" w:tplc="EDDA8050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175EEB2A">
      <w:start w:val="1"/>
      <w:numFmt w:val="lowerLetter"/>
      <w:lvlText w:val="%2."/>
      <w:lvlJc w:val="left"/>
      <w:pPr>
        <w:ind w:left="1440" w:hanging="360"/>
      </w:pPr>
    </w:lvl>
    <w:lvl w:ilvl="2" w:tplc="3DE27B16">
      <w:start w:val="1"/>
      <w:numFmt w:val="lowerRoman"/>
      <w:lvlText w:val="%3."/>
      <w:lvlJc w:val="right"/>
      <w:pPr>
        <w:ind w:left="2160" w:hanging="180"/>
      </w:pPr>
    </w:lvl>
    <w:lvl w:ilvl="3" w:tplc="70DABCFE">
      <w:start w:val="1"/>
      <w:numFmt w:val="decimal"/>
      <w:lvlText w:val="%4."/>
      <w:lvlJc w:val="left"/>
      <w:pPr>
        <w:ind w:left="2880" w:hanging="360"/>
      </w:pPr>
    </w:lvl>
    <w:lvl w:ilvl="4" w:tplc="FE50E7DA">
      <w:start w:val="1"/>
      <w:numFmt w:val="lowerLetter"/>
      <w:lvlText w:val="%5."/>
      <w:lvlJc w:val="left"/>
      <w:pPr>
        <w:ind w:left="3600" w:hanging="360"/>
      </w:pPr>
    </w:lvl>
    <w:lvl w:ilvl="5" w:tplc="24423FEE">
      <w:start w:val="1"/>
      <w:numFmt w:val="lowerRoman"/>
      <w:lvlText w:val="%6."/>
      <w:lvlJc w:val="right"/>
      <w:pPr>
        <w:ind w:left="4320" w:hanging="180"/>
      </w:pPr>
    </w:lvl>
    <w:lvl w:ilvl="6" w:tplc="21F07DF2">
      <w:start w:val="1"/>
      <w:numFmt w:val="decimal"/>
      <w:lvlText w:val="%7."/>
      <w:lvlJc w:val="left"/>
      <w:pPr>
        <w:ind w:left="5040" w:hanging="360"/>
      </w:pPr>
    </w:lvl>
    <w:lvl w:ilvl="7" w:tplc="22E29220">
      <w:start w:val="1"/>
      <w:numFmt w:val="lowerLetter"/>
      <w:lvlText w:val="%8."/>
      <w:lvlJc w:val="left"/>
      <w:pPr>
        <w:ind w:left="5760" w:hanging="360"/>
      </w:pPr>
    </w:lvl>
    <w:lvl w:ilvl="8" w:tplc="3EFA4C8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C70CD3"/>
    <w:multiLevelType w:val="hybridMultilevel"/>
    <w:tmpl w:val="5A40E4DE"/>
    <w:lvl w:ilvl="0" w:tplc="C2AE26CC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AF942D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08D5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8E97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BA66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787B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3A63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ACE4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76AA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C61"/>
    <w:rsid w:val="00453BBA"/>
    <w:rsid w:val="007F70BB"/>
    <w:rsid w:val="00C4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2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widowControl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pacing w:val="0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f8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color w:val="auto"/>
      <w:spacing w:val="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fb">
    <w:name w:val="Гипертекстовая ссылка"/>
    <w:basedOn w:val="a0"/>
    <w:uiPriority w:val="99"/>
    <w:rPr>
      <w:color w:val="106BBE"/>
    </w:rPr>
  </w:style>
  <w:style w:type="character" w:customStyle="1" w:styleId="FontStyle17">
    <w:name w:val="Font Style17"/>
    <w:uiPriority w:val="99"/>
    <w:rPr>
      <w:rFonts w:ascii="Bookman Old Style" w:hAnsi="Bookman Old Style" w:cs="Bookman Old Style"/>
      <w:spacing w:val="20"/>
      <w:sz w:val="16"/>
      <w:szCs w:val="16"/>
    </w:rPr>
  </w:style>
  <w:style w:type="character" w:customStyle="1" w:styleId="FontStyle18">
    <w:name w:val="Font Style18"/>
    <w:uiPriority w:val="99"/>
    <w:rPr>
      <w:rFonts w:ascii="Bookman Old Style" w:hAnsi="Bookman Old Style" w:cs="Bookman Old Style"/>
      <w:sz w:val="16"/>
      <w:szCs w:val="16"/>
    </w:rPr>
  </w:style>
  <w:style w:type="character" w:styleId="afc">
    <w:name w:val="Strong"/>
    <w:basedOn w:val="a0"/>
    <w:uiPriority w:val="22"/>
    <w:qFormat/>
    <w:rPr>
      <w:b/>
      <w:bCs/>
    </w:rPr>
  </w:style>
  <w:style w:type="paragraph" w:customStyle="1" w:styleId="Style6">
    <w:name w:val="Style6"/>
    <w:basedOn w:val="a"/>
    <w:uiPriority w:val="99"/>
    <w:pPr>
      <w:widowControl w:val="0"/>
      <w:spacing w:line="251" w:lineRule="exact"/>
      <w:ind w:hanging="72"/>
    </w:pPr>
    <w:rPr>
      <w:rFonts w:ascii="Bookman Old Style" w:hAnsi="Bookman Old Style"/>
      <w:color w:val="auto"/>
      <w:spacing w:val="0"/>
      <w:sz w:val="24"/>
      <w:szCs w:val="24"/>
    </w:rPr>
  </w:style>
  <w:style w:type="character" w:customStyle="1" w:styleId="dropdown-user-namefirst-letter">
    <w:name w:val="dropdown-user-name__first-letter"/>
    <w:basedOn w:val="a0"/>
  </w:style>
  <w:style w:type="paragraph" w:styleId="afd">
    <w:name w:val="Balloon Text"/>
    <w:basedOn w:val="a"/>
    <w:link w:val="af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Tahoma" w:eastAsia="Times New Roman" w:hAnsi="Tahoma" w:cs="Tahoma"/>
      <w:color w:val="000000"/>
      <w:spacing w:val="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2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widowControl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pacing w:val="0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f8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a">
    <w:name w:val="Normal (Web)"/>
    <w:basedOn w:val="a"/>
    <w:uiPriority w:val="99"/>
    <w:unhideWhenUsed/>
    <w:pPr>
      <w:spacing w:before="100" w:beforeAutospacing="1" w:after="100" w:afterAutospacing="1"/>
    </w:pPr>
    <w:rPr>
      <w:color w:val="auto"/>
      <w:spacing w:val="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fb">
    <w:name w:val="Гипертекстовая ссылка"/>
    <w:basedOn w:val="a0"/>
    <w:uiPriority w:val="99"/>
    <w:rPr>
      <w:color w:val="106BBE"/>
    </w:rPr>
  </w:style>
  <w:style w:type="character" w:customStyle="1" w:styleId="FontStyle17">
    <w:name w:val="Font Style17"/>
    <w:uiPriority w:val="99"/>
    <w:rPr>
      <w:rFonts w:ascii="Bookman Old Style" w:hAnsi="Bookman Old Style" w:cs="Bookman Old Style"/>
      <w:spacing w:val="20"/>
      <w:sz w:val="16"/>
      <w:szCs w:val="16"/>
    </w:rPr>
  </w:style>
  <w:style w:type="character" w:customStyle="1" w:styleId="FontStyle18">
    <w:name w:val="Font Style18"/>
    <w:uiPriority w:val="99"/>
    <w:rPr>
      <w:rFonts w:ascii="Bookman Old Style" w:hAnsi="Bookman Old Style" w:cs="Bookman Old Style"/>
      <w:sz w:val="16"/>
      <w:szCs w:val="16"/>
    </w:rPr>
  </w:style>
  <w:style w:type="character" w:styleId="afc">
    <w:name w:val="Strong"/>
    <w:basedOn w:val="a0"/>
    <w:uiPriority w:val="22"/>
    <w:qFormat/>
    <w:rPr>
      <w:b/>
      <w:bCs/>
    </w:rPr>
  </w:style>
  <w:style w:type="paragraph" w:customStyle="1" w:styleId="Style6">
    <w:name w:val="Style6"/>
    <w:basedOn w:val="a"/>
    <w:uiPriority w:val="99"/>
    <w:pPr>
      <w:widowControl w:val="0"/>
      <w:spacing w:line="251" w:lineRule="exact"/>
      <w:ind w:hanging="72"/>
    </w:pPr>
    <w:rPr>
      <w:rFonts w:ascii="Bookman Old Style" w:hAnsi="Bookman Old Style"/>
      <w:color w:val="auto"/>
      <w:spacing w:val="0"/>
      <w:sz w:val="24"/>
      <w:szCs w:val="24"/>
    </w:rPr>
  </w:style>
  <w:style w:type="character" w:customStyle="1" w:styleId="dropdown-user-namefirst-letter">
    <w:name w:val="dropdown-user-name__first-letter"/>
    <w:basedOn w:val="a0"/>
  </w:style>
  <w:style w:type="paragraph" w:styleId="afd">
    <w:name w:val="Balloon Text"/>
    <w:basedOn w:val="a"/>
    <w:link w:val="af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Tahoma" w:eastAsia="Times New Roman" w:hAnsi="Tahoma" w:cs="Tahoma"/>
      <w:color w:val="000000"/>
      <w:spacing w:val="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kraadm.gosuslugi.ru/ofitsialno/otsenka-reguliruyuschego-vozdeystviya/ekspertiza-deystvuyuschih-normativnyh-pravovyh-aktov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kraadm.gosuslugi.ru/ofitsialno/otsenka-reguliruyuschego-vozdeystviya/ekspertiza-deystvuyuschih-normativnyh-pravovyh-akto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FE4A2-9B39-4F52-8F00-43B4DA94D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4294925537</TotalTime>
  <Pages>1</Pages>
  <Words>1040</Words>
  <Characters>5930</Characters>
  <Application>Microsoft Office Word</Application>
  <DocSecurity>0</DocSecurity>
  <Lines>49</Lines>
  <Paragraphs>13</Paragraphs>
  <ScaleCrop>false</ScaleCrop>
  <Company>Администраци Алексеевского района</Company>
  <LinksUpToDate>false</LinksUpToDate>
  <CharactersWithSpaces>6957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 Gachakova (user_46)</dc:creator>
  <cp:lastModifiedBy>Uszer</cp:lastModifiedBy>
  <cp:revision>14</cp:revision>
  <dcterms:created xsi:type="dcterms:W3CDTF">2022-11-29T14:50:00Z</dcterms:created>
  <dcterms:modified xsi:type="dcterms:W3CDTF">2024-07-15T13:26:00Z</dcterms:modified>
</cp:coreProperties>
</file>