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Обоснование </w:t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center"/>
              <w:spacing w:after="200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муниципального района «Красненский район»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  <w:r>
              <w:rPr>
                <w:rFonts w:eastAsia="Cambria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 внесении изменений в постановление  администрации   муниципального района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Красненский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27 декабря 2024 года № 133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муниципальной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района 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Красненский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«Формирование современной городской среды на территории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200"/>
              <w:rPr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Красненского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  <w:r/>
            <w:r>
              <w:rPr>
                <w:rFonts w:eastAsia="Cambria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строительства, транспорта и ЖКХ администрации муниципального района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ind w:left="2" w:hanging="2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</w:t>
            </w:r>
            <w:r>
              <w:rPr>
                <w:sz w:val="24"/>
                <w:szCs w:val="24"/>
                <w:u w:val="single"/>
              </w:rPr>
              <w:t xml:space="preserve">, цели, задачи, последствия принятия):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мается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 xml:space="preserve">постановлением </w:t>
            </w:r>
            <w:r>
              <w:rPr>
                <w:sz w:val="24"/>
                <w:szCs w:val="24"/>
                <w:u w:val="single"/>
              </w:rPr>
              <w:t xml:space="preserve">Правительства Белгородской области                   </w:t>
            </w:r>
            <w:r>
              <w:rPr>
                <w:sz w:val="24"/>
                <w:szCs w:val="24"/>
                <w:u w:val="single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декабря 2023 года №815-пп «Об утверждении государственной программы Белгородской области «Формирование современной городской среды на территории Белгородской области»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не окажет влияние на состояние конкурентной среды на рынках товаров, работ, услуг Красненского района.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отсутствуют.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622">
    <w:name w:val="Balloon Text"/>
    <w:basedOn w:val="617"/>
    <w:link w:val="623"/>
    <w:uiPriority w:val="99"/>
    <w:semiHidden/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link w:val="622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624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98E4-194A-4C10-8B31-AC9F8758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revision>25</cp:revision>
  <dcterms:created xsi:type="dcterms:W3CDTF">2020-02-14T11:45:00Z</dcterms:created>
  <dcterms:modified xsi:type="dcterms:W3CDTF">2025-03-20T06:59:01Z</dcterms:modified>
</cp:coreProperties>
</file>